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07" w:rsidRDefault="00663D07" w:rsidP="00663D07">
      <w:pPr>
        <w:pStyle w:val="Titolo1"/>
        <w:pBdr>
          <w:bottom w:val="single" w:sz="6" w:space="0" w:color="A2A9B1"/>
        </w:pBdr>
        <w:spacing w:before="0" w:after="60"/>
        <w:rPr>
          <w:rFonts w:ascii="Georgia" w:hAnsi="Georgia"/>
          <w:b w:val="0"/>
          <w:bCs w:val="0"/>
          <w:color w:val="000000"/>
          <w:sz w:val="43"/>
          <w:szCs w:val="43"/>
          <w:lang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/>
        </w:rPr>
        <w:t>Herbert Edward Ryle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Ryle was born in </w:t>
      </w:r>
      <w:hyperlink r:id="rId4" w:tooltip="Onslow Square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Onslow Square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, </w:t>
      </w:r>
      <w:hyperlink r:id="rId5" w:tooltip="South Kensington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South Kensington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, London, on 25 May 1856, the second son of </w:t>
      </w:r>
      <w:hyperlink r:id="rId6" w:tooltip="John Charles Ryle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John Charles Ryle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(1816–1900), the first </w:t>
      </w:r>
      <w:hyperlink r:id="rId7" w:tooltip="Bishop of Liverpool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Bishop of Liverpool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, and his second wife, Jessie Elizabeth Walker. 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After attending school at Hill House, in </w:t>
      </w:r>
      <w:proofErr w:type="spellStart"/>
      <w:r w:rsidRPr="00663D07">
        <w:rPr>
          <w:rFonts w:asciiTheme="majorHAnsi" w:eastAsia="Times New Roman" w:hAnsiTheme="majorHAnsi" w:cs="Arial"/>
          <w:sz w:val="24"/>
          <w:szCs w:val="24"/>
        </w:rPr>
        <w:fldChar w:fldCharType="begin"/>
      </w: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instrText xml:space="preserve"> HYPERLINK "https://en.wikipedia.org/wiki/Wadhurst" \o "Wadhurst" </w:instrText>
      </w:r>
      <w:r w:rsidRPr="00663D07">
        <w:rPr>
          <w:rFonts w:asciiTheme="majorHAnsi" w:eastAsia="Times New Roman" w:hAnsiTheme="majorHAnsi" w:cs="Arial"/>
          <w:sz w:val="24"/>
          <w:szCs w:val="24"/>
        </w:rPr>
        <w:fldChar w:fldCharType="separate"/>
      </w: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Wadhurst</w:t>
      </w:r>
      <w:proofErr w:type="spellEnd"/>
      <w:r w:rsidRPr="00663D07">
        <w:rPr>
          <w:rFonts w:asciiTheme="majorHAnsi" w:eastAsia="Times New Roman" w:hAnsiTheme="majorHAnsi" w:cs="Arial"/>
          <w:sz w:val="24"/>
          <w:szCs w:val="24"/>
        </w:rPr>
        <w:fldChar w:fldCharType="end"/>
      </w: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, Sussex, Ryle went to </w:t>
      </w:r>
      <w:hyperlink r:id="rId8" w:tooltip="Eton College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Eton College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in 1868. In 1875 he won the Newcastle scholarship, and in the same year he proceeded to </w:t>
      </w:r>
      <w:hyperlink r:id="rId9" w:tooltip="King's College, Cambridge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King's College, Cambridge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, as a classical scholar. A football accident in 1877 prevented him from further involvement in </w:t>
      </w:r>
      <w:hyperlink r:id="rId10" w:tooltip="Sport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athletics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 . Between 1879 and 1881, however, he won every distinction open at Cambridge to students of theology, including a first class in the theological </w:t>
      </w:r>
      <w:proofErr w:type="spellStart"/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tripos</w:t>
      </w:r>
      <w:proofErr w:type="spellEnd"/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.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Ryle was elected a </w:t>
      </w:r>
      <w:hyperlink r:id="rId11" w:tooltip="Fellow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Fellow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of King's College, Cambridge, in April 1881, and began a career of twenty years as a teacher. He was ordained </w:t>
      </w:r>
      <w:hyperlink r:id="rId12" w:tooltip="Deacon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deacon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 in 1882 and priest in 1883. 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From September 1886 to March 1888 Ryle was </w:t>
      </w:r>
      <w:hyperlink r:id="rId13" w:tooltip="Principal (university)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Principal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of </w:t>
      </w:r>
      <w:hyperlink r:id="rId14" w:tooltip="University of Wales, Lampeter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 xml:space="preserve">St David's College, </w:t>
        </w:r>
        <w:proofErr w:type="spellStart"/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Lampeter</w:t>
        </w:r>
        <w:proofErr w:type="spellEnd"/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, from when until 1901 he taught at the </w:t>
      </w:r>
      <w:hyperlink r:id="rId15" w:tooltip="University of Cambridge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University of Cambridge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 as </w:t>
      </w:r>
      <w:proofErr w:type="spellStart"/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Hulsean</w:t>
      </w:r>
      <w:proofErr w:type="spellEnd"/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 Professor of </w:t>
      </w:r>
      <w:hyperlink r:id="rId16" w:tooltip="Divinity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Divinity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. During these years Ryle published a number of books connected with his academic interests, including </w:t>
      </w:r>
      <w:r w:rsidRPr="00663D07">
        <w:rPr>
          <w:rFonts w:asciiTheme="majorHAnsi" w:eastAsia="Times New Roman" w:hAnsiTheme="majorHAnsi" w:cs="Arial"/>
          <w:i/>
          <w:iCs/>
          <w:sz w:val="24"/>
          <w:szCs w:val="24"/>
          <w:lang w:val="en-US"/>
        </w:rPr>
        <w:t>The Early Narratives of Genesis</w:t>
      </w: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(1892), </w:t>
      </w:r>
      <w:r w:rsidRPr="00663D07">
        <w:rPr>
          <w:rFonts w:asciiTheme="majorHAnsi" w:eastAsia="Times New Roman" w:hAnsiTheme="majorHAnsi" w:cs="Arial"/>
          <w:i/>
          <w:iCs/>
          <w:sz w:val="24"/>
          <w:szCs w:val="24"/>
          <w:lang w:val="en-US"/>
        </w:rPr>
        <w:t>The Canon of the Old Testament</w:t>
      </w: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(1892), and </w:t>
      </w:r>
      <w:r w:rsidRPr="00663D07">
        <w:rPr>
          <w:rFonts w:asciiTheme="majorHAnsi" w:eastAsia="Times New Roman" w:hAnsiTheme="majorHAnsi" w:cs="Arial"/>
          <w:i/>
          <w:iCs/>
          <w:sz w:val="24"/>
          <w:szCs w:val="24"/>
          <w:lang w:val="en-US"/>
        </w:rPr>
        <w:t>Philo and Holy Scripture</w:t>
      </w: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 (1895). 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In 1900 Ryle was appointed </w:t>
      </w:r>
      <w:hyperlink r:id="rId17" w:tooltip="Bishop of Exeter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Bishop of Exeter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, being </w:t>
      </w:r>
      <w:hyperlink r:id="rId18" w:tooltip="Consecrated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consecrated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at </w:t>
      </w:r>
      <w:hyperlink r:id="rId19" w:tooltip="Westminster Abbey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Westminster Abbey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, then he became </w:t>
      </w:r>
      <w:hyperlink r:id="rId20" w:tooltip="Bishop of Winchester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Bishop of Winchester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.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In December 1910 Ryle was appointed </w:t>
      </w:r>
      <w:hyperlink r:id="rId21" w:tooltip="Dean of Westminster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Dean of Westminster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. He was installed in </w:t>
      </w:r>
      <w:hyperlink r:id="rId22" w:tooltip="Westminster Abbey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Westminster Abbey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in April 1911, at a time when the building was being prepared for the coronation of </w:t>
      </w:r>
      <w:hyperlink r:id="rId23" w:tooltip="George V of the United Kingdom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King George V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. Under his guidance and with the help of his advisers, the dignity of the Abbey services was notably increased.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During </w:t>
      </w:r>
      <w:hyperlink r:id="rId24" w:tooltip="World War I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World War I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Ryle used to take the midday service of intercession personally, and he was responsible for the many special services held in wartime.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The idea of a Tomb of </w:t>
      </w:r>
      <w:hyperlink r:id="rId25" w:tooltip="The Unknown Warrior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The Unknown Warrior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was first conceived in 1916 by the Reverend </w:t>
      </w:r>
      <w:hyperlink r:id="rId26" w:tooltip="David Railton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 xml:space="preserve">David </w:t>
        </w:r>
        <w:proofErr w:type="spellStart"/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Railton</w:t>
        </w:r>
        <w:proofErr w:type="spellEnd"/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, who wrote to Dean Ryle in 1920 proposing that an unidentified </w:t>
      </w:r>
      <w:hyperlink r:id="rId27" w:tooltip="Armed Forces of the United Kingdom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British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soldier from the battlefields in France be buried with due ceremony in Westminster Abbey "amongst the kings" to represent the many hundreds of thousands of </w:t>
      </w:r>
      <w:hyperlink r:id="rId28" w:tooltip="British Empire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Empire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dead. The idea was strongly supported by Ryle and the then Prime Minister </w:t>
      </w:r>
      <w:hyperlink r:id="rId29" w:tooltip="David Lloyd George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Lloyd George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. There was initial opposition from </w:t>
      </w:r>
      <w:hyperlink r:id="rId30" w:tooltip="George V of the United Kingdom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King George V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 (who feared that such a ceremony would reopen the wounds of a recently concluded war) and others but a surge of emotional support from the great number of bereaved families ensured its adoption. The inscription on the tomb was composed by Ryle. </w:t>
      </w:r>
    </w:p>
    <w:p w:rsidR="00663D07" w:rsidRPr="00663D07" w:rsidRDefault="00663D07" w:rsidP="00663D07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52525"/>
          <w:sz w:val="24"/>
          <w:szCs w:val="24"/>
          <w:lang w:val="en-US"/>
        </w:rPr>
      </w:pPr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He had never been strong and had a history of heart trouble. In the autumn of 1924 his health broke down. After five months in a nursing home at </w:t>
      </w:r>
      <w:hyperlink r:id="rId31" w:tooltip="Bournemouth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Bournemouth</w:t>
        </w:r>
      </w:hyperlink>
      <w:r w:rsidRPr="00663D07">
        <w:rPr>
          <w:rFonts w:asciiTheme="majorHAnsi" w:eastAsia="Times New Roman" w:hAnsiTheme="majorHAnsi" w:cs="Arial"/>
          <w:sz w:val="24"/>
          <w:szCs w:val="24"/>
          <w:lang w:val="en-US"/>
        </w:rPr>
        <w:t> he returned in May 1925 to the Deanery, where he died on 20 August. He was buried on 25 August in Westminster Abbey in a spot close to the tomb of </w:t>
      </w:r>
      <w:hyperlink r:id="rId32" w:tooltip="The Unknown Warrior" w:history="1">
        <w:r w:rsidRPr="00663D07">
          <w:rPr>
            <w:rFonts w:asciiTheme="majorHAnsi" w:eastAsia="Times New Roman" w:hAnsiTheme="majorHAnsi" w:cs="Arial"/>
            <w:sz w:val="24"/>
            <w:szCs w:val="24"/>
            <w:lang w:val="en-US"/>
          </w:rPr>
          <w:t>The Unknown Warrior</w:t>
        </w:r>
      </w:hyperlink>
      <w:r w:rsidRPr="00663D07">
        <w:rPr>
          <w:rFonts w:asciiTheme="majorHAnsi" w:eastAsia="Times New Roman" w:hAnsiTheme="majorHAnsi" w:cs="Arial"/>
          <w:color w:val="252525"/>
          <w:sz w:val="24"/>
          <w:szCs w:val="24"/>
          <w:lang w:val="en-US"/>
        </w:rPr>
        <w:t>.</w:t>
      </w:r>
    </w:p>
    <w:p w:rsidR="003A3809" w:rsidRPr="00663D07" w:rsidRDefault="003A3809">
      <w:pPr>
        <w:rPr>
          <w:rFonts w:asciiTheme="majorHAnsi" w:hAnsiTheme="majorHAnsi" w:cs="Times New Roman"/>
          <w:sz w:val="24"/>
          <w:szCs w:val="24"/>
          <w:lang w:val="en-US"/>
        </w:rPr>
      </w:pPr>
    </w:p>
    <w:sectPr w:rsidR="003A3809" w:rsidRPr="00663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>
    <w:useFELayout/>
  </w:compat>
  <w:rsids>
    <w:rsidRoot w:val="00663D07"/>
    <w:rsid w:val="003A3809"/>
    <w:rsid w:val="0066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3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63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63D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66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63D07"/>
  </w:style>
  <w:style w:type="character" w:styleId="Collegamentoipertestuale">
    <w:name w:val="Hyperlink"/>
    <w:basedOn w:val="Carpredefinitoparagrafo"/>
    <w:uiPriority w:val="99"/>
    <w:semiHidden/>
    <w:unhideWhenUsed/>
    <w:rsid w:val="00663D07"/>
    <w:rPr>
      <w:color w:val="0000FF"/>
      <w:u w:val="single"/>
    </w:rPr>
  </w:style>
  <w:style w:type="character" w:customStyle="1" w:styleId="mw-headline">
    <w:name w:val="mw-headline"/>
    <w:basedOn w:val="Carpredefinitoparagrafo"/>
    <w:rsid w:val="00663D07"/>
  </w:style>
  <w:style w:type="character" w:customStyle="1" w:styleId="mw-editsection">
    <w:name w:val="mw-editsection"/>
    <w:basedOn w:val="Carpredefinitoparagrafo"/>
    <w:rsid w:val="00663D07"/>
  </w:style>
  <w:style w:type="character" w:customStyle="1" w:styleId="mw-editsection-bracket">
    <w:name w:val="mw-editsection-bracket"/>
    <w:basedOn w:val="Carpredefinitoparagrafo"/>
    <w:rsid w:val="00663D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D0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3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2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737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94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ton_College" TargetMode="External"/><Relationship Id="rId13" Type="http://schemas.openxmlformats.org/officeDocument/2006/relationships/hyperlink" Target="https://en.wikipedia.org/wiki/Principal_(university)" TargetMode="External"/><Relationship Id="rId18" Type="http://schemas.openxmlformats.org/officeDocument/2006/relationships/hyperlink" Target="https://en.wikipedia.org/wiki/Consecrated" TargetMode="External"/><Relationship Id="rId26" Type="http://schemas.openxmlformats.org/officeDocument/2006/relationships/hyperlink" Target="https://en.wikipedia.org/wiki/David_Railt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Dean_of_Westminste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n.wikipedia.org/wiki/Bishop_of_Liverpool" TargetMode="External"/><Relationship Id="rId12" Type="http://schemas.openxmlformats.org/officeDocument/2006/relationships/hyperlink" Target="https://en.wikipedia.org/wiki/Deacon" TargetMode="External"/><Relationship Id="rId17" Type="http://schemas.openxmlformats.org/officeDocument/2006/relationships/hyperlink" Target="https://en.wikipedia.org/wiki/Bishop_of_Exeter" TargetMode="External"/><Relationship Id="rId25" Type="http://schemas.openxmlformats.org/officeDocument/2006/relationships/hyperlink" Target="https://en.wikipedia.org/wiki/The_Unknown_Warrio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Divinity" TargetMode="External"/><Relationship Id="rId20" Type="http://schemas.openxmlformats.org/officeDocument/2006/relationships/hyperlink" Target="https://en.wikipedia.org/wiki/Bishop_of_Winchester" TargetMode="External"/><Relationship Id="rId29" Type="http://schemas.openxmlformats.org/officeDocument/2006/relationships/hyperlink" Target="https://en.wikipedia.org/wiki/David_Lloyd_Georg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John_Charles_Ryle" TargetMode="External"/><Relationship Id="rId11" Type="http://schemas.openxmlformats.org/officeDocument/2006/relationships/hyperlink" Target="https://en.wikipedia.org/wiki/Fellow" TargetMode="External"/><Relationship Id="rId24" Type="http://schemas.openxmlformats.org/officeDocument/2006/relationships/hyperlink" Target="https://en.wikipedia.org/wiki/World_War_I" TargetMode="External"/><Relationship Id="rId32" Type="http://schemas.openxmlformats.org/officeDocument/2006/relationships/hyperlink" Target="https://en.wikipedia.org/wiki/The_Unknown_Warrior" TargetMode="External"/><Relationship Id="rId5" Type="http://schemas.openxmlformats.org/officeDocument/2006/relationships/hyperlink" Target="https://en.wikipedia.org/wiki/South_Kensington" TargetMode="External"/><Relationship Id="rId15" Type="http://schemas.openxmlformats.org/officeDocument/2006/relationships/hyperlink" Target="https://en.wikipedia.org/wiki/University_of_Cambridge" TargetMode="External"/><Relationship Id="rId23" Type="http://schemas.openxmlformats.org/officeDocument/2006/relationships/hyperlink" Target="https://en.wikipedia.org/wiki/George_V_of_the_United_Kingdom" TargetMode="External"/><Relationship Id="rId28" Type="http://schemas.openxmlformats.org/officeDocument/2006/relationships/hyperlink" Target="https://en.wikipedia.org/wiki/British_Empire" TargetMode="External"/><Relationship Id="rId10" Type="http://schemas.openxmlformats.org/officeDocument/2006/relationships/hyperlink" Target="https://en.wikipedia.org/wiki/Sport" TargetMode="External"/><Relationship Id="rId19" Type="http://schemas.openxmlformats.org/officeDocument/2006/relationships/hyperlink" Target="https://en.wikipedia.org/wiki/Westminster_Abbey" TargetMode="External"/><Relationship Id="rId31" Type="http://schemas.openxmlformats.org/officeDocument/2006/relationships/hyperlink" Target="https://en.wikipedia.org/wiki/Bournemouth" TargetMode="External"/><Relationship Id="rId4" Type="http://schemas.openxmlformats.org/officeDocument/2006/relationships/hyperlink" Target="https://en.wikipedia.org/wiki/Onslow_Square" TargetMode="External"/><Relationship Id="rId9" Type="http://schemas.openxmlformats.org/officeDocument/2006/relationships/hyperlink" Target="https://en.wikipedia.org/wiki/King%27s_College,_Cambridge" TargetMode="External"/><Relationship Id="rId14" Type="http://schemas.openxmlformats.org/officeDocument/2006/relationships/hyperlink" Target="https://en.wikipedia.org/wiki/University_of_Wales,_Lampeter" TargetMode="External"/><Relationship Id="rId22" Type="http://schemas.openxmlformats.org/officeDocument/2006/relationships/hyperlink" Target="https://en.wikipedia.org/wiki/Westminster_Abbey" TargetMode="External"/><Relationship Id="rId27" Type="http://schemas.openxmlformats.org/officeDocument/2006/relationships/hyperlink" Target="https://en.wikipedia.org/wiki/Armed_Forces_of_the_United_Kingdom" TargetMode="External"/><Relationship Id="rId30" Type="http://schemas.openxmlformats.org/officeDocument/2006/relationships/hyperlink" Target="https://en.wikipedia.org/wiki/George_V_of_the_United_Kingd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Alampi</dc:creator>
  <cp:keywords/>
  <dc:description/>
  <cp:lastModifiedBy>Alessia Alampi</cp:lastModifiedBy>
  <cp:revision>2</cp:revision>
  <dcterms:created xsi:type="dcterms:W3CDTF">2017-03-12T16:09:00Z</dcterms:created>
  <dcterms:modified xsi:type="dcterms:W3CDTF">2017-03-12T16:17:00Z</dcterms:modified>
</cp:coreProperties>
</file>