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552" w:rsidRPr="00047552" w:rsidRDefault="00047552" w:rsidP="00047552">
      <w:pPr>
        <w:shd w:val="clear" w:color="auto" w:fill="FFFFFF"/>
        <w:spacing w:after="221" w:line="240" w:lineRule="auto"/>
        <w:jc w:val="both"/>
        <w:rPr>
          <w:rFonts w:eastAsia="Times New Roman" w:cs="Helvetica"/>
          <w:b/>
          <w:color w:val="FF0066"/>
          <w:sz w:val="28"/>
          <w:szCs w:val="28"/>
          <w:lang w:val="en-US" w:eastAsia="it-IT"/>
        </w:rPr>
      </w:pPr>
      <w:r w:rsidRPr="00047552">
        <w:rPr>
          <w:rFonts w:eastAsia="Times New Roman" w:cs="Helvetica"/>
          <w:b/>
          <w:color w:val="FF0066"/>
          <w:sz w:val="28"/>
          <w:szCs w:val="28"/>
          <w:lang w:val="en-US" w:eastAsia="it-IT"/>
        </w:rPr>
        <w:t>Evaluation on R. Kipling’s fiction</w:t>
      </w:r>
    </w:p>
    <w:p w:rsidR="00047552" w:rsidRPr="00047552" w:rsidRDefault="00047552" w:rsidP="00047552">
      <w:pPr>
        <w:shd w:val="clear" w:color="auto" w:fill="FFFFFF"/>
        <w:spacing w:after="221" w:line="240" w:lineRule="auto"/>
        <w:jc w:val="both"/>
        <w:rPr>
          <w:rFonts w:eastAsia="Times New Roman" w:cs="Helvetica"/>
          <w:color w:val="002060"/>
          <w:sz w:val="28"/>
          <w:szCs w:val="28"/>
          <w:lang w:val="en-US" w:eastAsia="it-IT"/>
        </w:rPr>
      </w:pPr>
      <w:r w:rsidRPr="00047552">
        <w:rPr>
          <w:rFonts w:eastAsia="Times New Roman" w:cs="Helvetica"/>
          <w:color w:val="002060"/>
          <w:sz w:val="28"/>
          <w:szCs w:val="28"/>
          <w:lang w:val="en-US" w:eastAsia="it-IT"/>
        </w:rPr>
        <w:t>Literary historians over the past century cannot agree on how much of the British Empire influences Kipling’s oeuvre. In each literary-historical period, different authors hold different views on where Kipling fits into the established canon and which works are of literary value. Later critics and historians are also emphasizing Kipling’s longer works while the earlier ones prefer his poetry, even though few name specific poems. The crux is Kipling’s imperialism. When history places a taboo on holding an imperial outlook, many of Kipling’s longer works are slighted. However, later historians see less of an imperial stance in Kipling’s oeuvre. Some show an awareness of literary criticism during their respective time period and some do not. Although Kipling will always be considered a writer of empire, recent criticism is reevaluating his problematic placement within the oeuvre of late Victorian and early modern imperial literature.</w:t>
      </w:r>
    </w:p>
    <w:sectPr w:rsidR="00047552" w:rsidRPr="00047552" w:rsidSect="00860466">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283"/>
  <w:characterSpacingControl w:val="doNotCompress"/>
  <w:compat/>
  <w:rsids>
    <w:rsidRoot w:val="00047552"/>
    <w:rsid w:val="00047552"/>
    <w:rsid w:val="00860466"/>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60466"/>
  </w:style>
  <w:style w:type="paragraph" w:styleId="Titolo3">
    <w:name w:val="heading 3"/>
    <w:basedOn w:val="Normale"/>
    <w:link w:val="Titolo3Carattere"/>
    <w:uiPriority w:val="9"/>
    <w:qFormat/>
    <w:rsid w:val="00047552"/>
    <w:pPr>
      <w:spacing w:before="100" w:beforeAutospacing="1" w:after="100" w:afterAutospacing="1" w:line="240" w:lineRule="auto"/>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047552"/>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047552"/>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21653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marilena.beltramini</dc:creator>
  <cp:lastModifiedBy>marilena.beltramini</cp:lastModifiedBy>
  <cp:revision>1</cp:revision>
  <dcterms:created xsi:type="dcterms:W3CDTF">2018-03-08T07:27:00Z</dcterms:created>
  <dcterms:modified xsi:type="dcterms:W3CDTF">2018-03-08T07:37:00Z</dcterms:modified>
</cp:coreProperties>
</file>