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E2" w:rsidRPr="00010F41" w:rsidRDefault="00AB41E2" w:rsidP="00AB41E2">
      <w:pPr>
        <w:pStyle w:val="NormalWeb"/>
        <w:spacing w:after="0"/>
        <w:rPr>
          <w:rFonts w:asciiTheme="minorHAnsi" w:hAnsiTheme="minorHAnsi"/>
          <w:b/>
          <w:bCs/>
          <w:color w:val="1E07C5"/>
        </w:rPr>
      </w:pPr>
      <w:bookmarkStart w:id="0" w:name="_GoBack"/>
      <w:bookmarkEnd w:id="0"/>
      <w:r w:rsidRPr="00010F41">
        <w:rPr>
          <w:rFonts w:asciiTheme="minorHAnsi" w:hAnsiTheme="minorHAnsi"/>
          <w:b/>
          <w:bCs/>
          <w:color w:val="1E07C5"/>
        </w:rPr>
        <w:t>Question nr. 20</w:t>
      </w:r>
    </w:p>
    <w:p w:rsidR="00AB41E2" w:rsidRPr="00010F41" w:rsidRDefault="00AB41E2" w:rsidP="00AB41E2">
      <w:pPr>
        <w:pStyle w:val="NormalWeb"/>
        <w:numPr>
          <w:ilvl w:val="0"/>
          <w:numId w:val="5"/>
        </w:numPr>
        <w:spacing w:after="0"/>
        <w:ind w:left="180" w:hanging="270"/>
        <w:rPr>
          <w:rFonts w:asciiTheme="minorHAnsi" w:hAnsiTheme="minorHAnsi"/>
          <w:b/>
          <w:bCs/>
          <w:color w:val="1E07C5"/>
        </w:rPr>
      </w:pPr>
      <w:r w:rsidRPr="00010F41">
        <w:rPr>
          <w:rFonts w:asciiTheme="minorHAnsi" w:hAnsiTheme="minorHAnsi"/>
          <w:b/>
          <w:bCs/>
          <w:color w:val="1E07C5"/>
        </w:rPr>
        <w:t xml:space="preserve">English: Do you believe in a superior entity? </w:t>
      </w:r>
    </w:p>
    <w:p w:rsidR="00AB41E2" w:rsidRPr="00010F41" w:rsidRDefault="00AB41E2" w:rsidP="00AB41E2">
      <w:pPr>
        <w:pStyle w:val="NormalWeb"/>
        <w:numPr>
          <w:ilvl w:val="0"/>
          <w:numId w:val="5"/>
        </w:numPr>
        <w:tabs>
          <w:tab w:val="left" w:pos="180"/>
        </w:tabs>
        <w:spacing w:after="0"/>
        <w:ind w:hanging="810"/>
        <w:rPr>
          <w:rFonts w:asciiTheme="minorHAnsi" w:hAnsiTheme="minorHAnsi"/>
          <w:color w:val="1E07C5"/>
        </w:rPr>
      </w:pPr>
      <w:r w:rsidRPr="00010F41">
        <w:rPr>
          <w:rFonts w:asciiTheme="minorHAnsi" w:hAnsiTheme="minorHAnsi"/>
          <w:b/>
          <w:bCs/>
          <w:color w:val="1E07C5"/>
        </w:rPr>
        <w:t>Italiano: Credi in qualche entità superiore?</w:t>
      </w:r>
    </w:p>
    <w:tbl>
      <w:tblPr>
        <w:tblStyle w:val="TableGrid"/>
        <w:tblpPr w:leftFromText="180" w:rightFromText="180" w:vertAnchor="page" w:horzAnchor="margin" w:tblpY="3181"/>
        <w:tblW w:w="8430" w:type="dxa"/>
        <w:tblLook w:val="04A0" w:firstRow="1" w:lastRow="0" w:firstColumn="1" w:lastColumn="0" w:noHBand="0" w:noVBand="1"/>
      </w:tblPr>
      <w:tblGrid>
        <w:gridCol w:w="1620"/>
        <w:gridCol w:w="1120"/>
        <w:gridCol w:w="946"/>
        <w:gridCol w:w="231"/>
        <w:gridCol w:w="1037"/>
        <w:gridCol w:w="946"/>
        <w:gridCol w:w="231"/>
        <w:gridCol w:w="1353"/>
        <w:gridCol w:w="946"/>
      </w:tblGrid>
      <w:tr w:rsidR="00010F41" w:rsidRPr="00010F41" w:rsidTr="00AB41E2">
        <w:trPr>
          <w:trHeight w:val="523"/>
        </w:trPr>
        <w:tc>
          <w:tcPr>
            <w:tcW w:w="1620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29"/>
            </w:pPr>
            <w:r w:rsidRPr="00010F41">
              <w:rPr>
                <w:b/>
                <w:bCs/>
              </w:rPr>
              <w:t xml:space="preserve">     </w:t>
            </w:r>
            <w:r w:rsidRPr="00AB41E2">
              <w:rPr>
                <w:b/>
                <w:bCs/>
              </w:rPr>
              <w:t>Answers</w:t>
            </w:r>
          </w:p>
          <w:p w:rsidR="00AB41E2" w:rsidRPr="00AB41E2" w:rsidRDefault="00AB41E2" w:rsidP="00AB41E2">
            <w:pPr>
              <w:spacing w:before="29" w:after="115"/>
            </w:pPr>
          </w:p>
        </w:tc>
        <w:tc>
          <w:tcPr>
            <w:tcW w:w="1120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100" w:beforeAutospacing="1"/>
            </w:pPr>
            <w:r w:rsidRPr="00010F41">
              <w:rPr>
                <w:b/>
                <w:bCs/>
              </w:rPr>
              <w:t xml:space="preserve">    </w:t>
            </w:r>
            <w:r w:rsidRPr="00AB41E2">
              <w:rPr>
                <w:b/>
                <w:bCs/>
              </w:rPr>
              <w:t>Total</w:t>
            </w:r>
            <w:r w:rsidRPr="00010F41">
              <w:rPr>
                <w:b/>
                <w:bCs/>
              </w:rPr>
              <w:br/>
              <w:t xml:space="preserve">    M</w:t>
            </w:r>
            <w:r w:rsidRPr="00AB41E2">
              <w:rPr>
                <w:b/>
                <w:bCs/>
              </w:rPr>
              <w:t>+</w:t>
            </w:r>
            <w:r w:rsidRPr="00010F41">
              <w:rPr>
                <w:b/>
                <w:bCs/>
              </w:rPr>
              <w:t>W</w:t>
            </w:r>
          </w:p>
        </w:tc>
        <w:tc>
          <w:tcPr>
            <w:tcW w:w="946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</w:pPr>
            <w:r w:rsidRPr="00010F41">
              <w:rPr>
                <w:b/>
                <w:bCs/>
              </w:rPr>
              <w:t xml:space="preserve">     </w:t>
            </w:r>
            <w:r w:rsidRPr="00AB41E2">
              <w:rPr>
                <w:b/>
                <w:bCs/>
              </w:rPr>
              <w:t>%</w:t>
            </w:r>
          </w:p>
        </w:tc>
        <w:tc>
          <w:tcPr>
            <w:tcW w:w="231" w:type="dxa"/>
            <w:vMerge w:val="restart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  <w:ind w:left="360"/>
              <w:jc w:val="center"/>
            </w:pPr>
          </w:p>
        </w:tc>
        <w:tc>
          <w:tcPr>
            <w:tcW w:w="1037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</w:pPr>
            <w:r w:rsidRPr="00010F41">
              <w:rPr>
                <w:b/>
                <w:bCs/>
              </w:rPr>
              <w:t xml:space="preserve">    </w:t>
            </w:r>
            <w:r w:rsidRPr="00AB41E2">
              <w:rPr>
                <w:b/>
                <w:bCs/>
              </w:rPr>
              <w:t>Men</w:t>
            </w:r>
          </w:p>
        </w:tc>
        <w:tc>
          <w:tcPr>
            <w:tcW w:w="946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</w:pPr>
            <w:r w:rsidRPr="00010F41">
              <w:rPr>
                <w:b/>
                <w:bCs/>
              </w:rPr>
              <w:t xml:space="preserve">     </w:t>
            </w:r>
            <w:r w:rsidRPr="00AB41E2">
              <w:rPr>
                <w:b/>
                <w:bCs/>
              </w:rPr>
              <w:t>%</w:t>
            </w:r>
          </w:p>
        </w:tc>
        <w:tc>
          <w:tcPr>
            <w:tcW w:w="231" w:type="dxa"/>
            <w:vMerge w:val="restart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  <w:ind w:left="360"/>
              <w:jc w:val="center"/>
            </w:pPr>
          </w:p>
        </w:tc>
        <w:tc>
          <w:tcPr>
            <w:tcW w:w="1353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</w:pPr>
            <w:r w:rsidRPr="00010F41">
              <w:rPr>
                <w:b/>
                <w:bCs/>
              </w:rPr>
              <w:t xml:space="preserve">    </w:t>
            </w:r>
            <w:r w:rsidRPr="00AB41E2">
              <w:rPr>
                <w:b/>
                <w:bCs/>
              </w:rPr>
              <w:t>Women</w:t>
            </w:r>
          </w:p>
        </w:tc>
        <w:tc>
          <w:tcPr>
            <w:tcW w:w="946" w:type="dxa"/>
            <w:shd w:val="pct10" w:color="auto" w:fill="auto"/>
            <w:hideMark/>
          </w:tcPr>
          <w:p w:rsidR="00AB41E2" w:rsidRPr="00AB41E2" w:rsidRDefault="00AB41E2" w:rsidP="00AB41E2">
            <w:pPr>
              <w:spacing w:before="29" w:after="115"/>
            </w:pPr>
            <w:r w:rsidRPr="00010F41">
              <w:rPr>
                <w:b/>
                <w:bCs/>
              </w:rPr>
              <w:t xml:space="preserve">     </w:t>
            </w:r>
            <w:r w:rsidRPr="00AB41E2">
              <w:rPr>
                <w:b/>
                <w:bCs/>
              </w:rPr>
              <w:t>%</w:t>
            </w:r>
          </w:p>
        </w:tc>
      </w:tr>
      <w:tr w:rsidR="00010F41" w:rsidRPr="00010F41" w:rsidTr="00AB41E2">
        <w:trPr>
          <w:trHeight w:val="341"/>
        </w:trPr>
        <w:tc>
          <w:tcPr>
            <w:tcW w:w="1620" w:type="dxa"/>
            <w:hideMark/>
          </w:tcPr>
          <w:p w:rsidR="00AB41E2" w:rsidRPr="00AB41E2" w:rsidRDefault="00AB41E2" w:rsidP="00AB41E2">
            <w:pPr>
              <w:spacing w:before="29" w:after="115"/>
              <w:ind w:left="360"/>
            </w:pPr>
            <w:r w:rsidRPr="00AB41E2">
              <w:t>Believers</w:t>
            </w:r>
          </w:p>
        </w:tc>
        <w:tc>
          <w:tcPr>
            <w:tcW w:w="1120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464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hideMark/>
          </w:tcPr>
          <w:p w:rsidR="00AB41E2" w:rsidRPr="00AB41E2" w:rsidRDefault="00AB41E2" w:rsidP="00AB41E2"/>
        </w:tc>
        <w:tc>
          <w:tcPr>
            <w:tcW w:w="1037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220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hideMark/>
          </w:tcPr>
          <w:p w:rsidR="00AB41E2" w:rsidRPr="00AB41E2" w:rsidRDefault="00AB41E2" w:rsidP="00AB41E2"/>
        </w:tc>
        <w:tc>
          <w:tcPr>
            <w:tcW w:w="1353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244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77</w:t>
            </w:r>
          </w:p>
        </w:tc>
      </w:tr>
      <w:tr w:rsidR="00010F41" w:rsidRPr="00010F41" w:rsidTr="00AB41E2">
        <w:trPr>
          <w:trHeight w:val="341"/>
        </w:trPr>
        <w:tc>
          <w:tcPr>
            <w:tcW w:w="1620" w:type="dxa"/>
            <w:hideMark/>
          </w:tcPr>
          <w:p w:rsidR="00AB41E2" w:rsidRPr="00AB41E2" w:rsidRDefault="00AB41E2" w:rsidP="00AB41E2">
            <w:pPr>
              <w:spacing w:before="29" w:after="115"/>
              <w:ind w:left="360"/>
            </w:pPr>
            <w:r w:rsidRPr="00AB41E2">
              <w:t>Atheists</w:t>
            </w:r>
          </w:p>
        </w:tc>
        <w:tc>
          <w:tcPr>
            <w:tcW w:w="1120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166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hideMark/>
          </w:tcPr>
          <w:p w:rsidR="00AB41E2" w:rsidRPr="00AB41E2" w:rsidRDefault="00AB41E2" w:rsidP="00AB41E2"/>
        </w:tc>
        <w:tc>
          <w:tcPr>
            <w:tcW w:w="1037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97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hideMark/>
          </w:tcPr>
          <w:p w:rsidR="00AB41E2" w:rsidRPr="00AB41E2" w:rsidRDefault="00AB41E2" w:rsidP="00AB41E2"/>
        </w:tc>
        <w:tc>
          <w:tcPr>
            <w:tcW w:w="1353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69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23</w:t>
            </w:r>
          </w:p>
        </w:tc>
      </w:tr>
      <w:tr w:rsidR="00010F41" w:rsidRPr="00010F41" w:rsidTr="00AB41E2">
        <w:trPr>
          <w:trHeight w:val="569"/>
        </w:trPr>
        <w:tc>
          <w:tcPr>
            <w:tcW w:w="1620" w:type="dxa"/>
            <w:hideMark/>
          </w:tcPr>
          <w:p w:rsidR="00AB41E2" w:rsidRPr="00AB41E2" w:rsidRDefault="00AB41E2" w:rsidP="00AB41E2">
            <w:pPr>
              <w:spacing w:before="29" w:after="115"/>
              <w:ind w:left="360"/>
            </w:pPr>
            <w:r w:rsidRPr="00AB41E2">
              <w:t>Total number</w:t>
            </w:r>
          </w:p>
        </w:tc>
        <w:tc>
          <w:tcPr>
            <w:tcW w:w="1120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630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AB41E2" w:rsidRPr="00AB41E2" w:rsidRDefault="00AB41E2" w:rsidP="00AB41E2"/>
        </w:tc>
        <w:tc>
          <w:tcPr>
            <w:tcW w:w="1037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317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AB41E2" w:rsidRPr="00AB41E2" w:rsidRDefault="00AB41E2" w:rsidP="00AB41E2"/>
        </w:tc>
        <w:tc>
          <w:tcPr>
            <w:tcW w:w="1353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313</w:t>
            </w:r>
          </w:p>
        </w:tc>
        <w:tc>
          <w:tcPr>
            <w:tcW w:w="946" w:type="dxa"/>
            <w:hideMark/>
          </w:tcPr>
          <w:p w:rsidR="00AB41E2" w:rsidRPr="00AB41E2" w:rsidRDefault="00AB41E2" w:rsidP="00AB41E2">
            <w:pPr>
              <w:spacing w:before="100" w:beforeAutospacing="1" w:after="115"/>
              <w:ind w:left="360"/>
              <w:jc w:val="center"/>
            </w:pPr>
            <w:r w:rsidRPr="00AB41E2">
              <w:rPr>
                <w:lang w:val="en-GB"/>
              </w:rPr>
              <w:t>100</w:t>
            </w:r>
          </w:p>
        </w:tc>
      </w:tr>
    </w:tbl>
    <w:p w:rsidR="00BB0C9B" w:rsidRPr="00010F41" w:rsidRDefault="00AB41E2">
      <w:r w:rsidRPr="00010F41">
        <w:br/>
      </w:r>
    </w:p>
    <w:p w:rsidR="00BB0C9B" w:rsidRPr="00010F41" w:rsidRDefault="00BB0C9B"/>
    <w:p w:rsidR="00BB0C9B" w:rsidRPr="00010F41" w:rsidRDefault="00BB0C9B"/>
    <w:p w:rsidR="00BB0C9B" w:rsidRPr="00010F41" w:rsidRDefault="00BB0C9B"/>
    <w:p w:rsidR="00BB0C9B" w:rsidRPr="00010F41" w:rsidRDefault="00BB0C9B"/>
    <w:p w:rsidR="00BB0C9B" w:rsidRPr="00010F41" w:rsidRDefault="00BB0C9B"/>
    <w:p w:rsidR="00BB0C9B" w:rsidRDefault="00BB0C9B"/>
    <w:p w:rsidR="00BB0C9B" w:rsidRDefault="00BB0C9B"/>
    <w:p w:rsidR="00BB0C9B" w:rsidRDefault="00BB0C9B"/>
    <w:p w:rsidR="00BB0C9B" w:rsidRDefault="00BB0C9B"/>
    <w:p w:rsidR="00BB0C9B" w:rsidRDefault="00BB0C9B"/>
    <w:p w:rsidR="00BB0C9B" w:rsidRDefault="00BB0C9B"/>
    <w:p w:rsidR="00BB0C9B" w:rsidRDefault="00BB0C9B"/>
    <w:p w:rsidR="00BB0C9B" w:rsidRDefault="00BB0C9B"/>
    <w:p w:rsidR="00BB0C9B" w:rsidRDefault="00BB0C9B"/>
    <w:p w:rsidR="005E348C" w:rsidRDefault="000E60FF">
      <w:r>
        <w:rPr>
          <w:noProof/>
          <w:color w:val="1E07C5"/>
        </w:rPr>
        <w:lastRenderedPageBreak/>
        <w:drawing>
          <wp:inline distT="0" distB="0" distL="0" distR="0">
            <wp:extent cx="6010275" cy="375285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0C9B" w:rsidRDefault="00BB0C9B"/>
    <w:p w:rsidR="00BB0C9B" w:rsidRDefault="000E60FF">
      <w:r>
        <w:rPr>
          <w:noProof/>
        </w:rPr>
        <w:drawing>
          <wp:inline distT="0" distB="0" distL="0" distR="0">
            <wp:extent cx="6305550" cy="3867150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78A" w:rsidRDefault="000E60FF">
      <w:r>
        <w:rPr>
          <w:noProof/>
        </w:rPr>
        <w:lastRenderedPageBreak/>
        <w:drawing>
          <wp:inline distT="0" distB="0" distL="0" distR="0">
            <wp:extent cx="6210300" cy="3657600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78A" w:rsidRDefault="0007578A"/>
    <w:p w:rsidR="0007578A" w:rsidRDefault="000E60FF">
      <w:r>
        <w:rPr>
          <w:noProof/>
        </w:rPr>
        <w:drawing>
          <wp:inline distT="0" distB="0" distL="0" distR="0">
            <wp:extent cx="6143625" cy="3448050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75B0" w:rsidRDefault="00BA75B0"/>
    <w:p w:rsidR="00BA75B0" w:rsidRDefault="00BA75B0"/>
    <w:p w:rsidR="00BA75B0" w:rsidRDefault="000E60FF">
      <w:r>
        <w:rPr>
          <w:noProof/>
        </w:rPr>
        <w:lastRenderedPageBreak/>
        <w:drawing>
          <wp:inline distT="0" distB="0" distL="0" distR="0">
            <wp:extent cx="6057900" cy="3476625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75B0" w:rsidRDefault="00BA75B0"/>
    <w:p w:rsidR="00BA75B0" w:rsidRDefault="000E60FF">
      <w:r>
        <w:rPr>
          <w:noProof/>
        </w:rPr>
        <w:drawing>
          <wp:inline distT="0" distB="0" distL="0" distR="0">
            <wp:extent cx="6296025" cy="3752850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A75B0" w:rsidSect="00AB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304"/>
    <w:multiLevelType w:val="hybridMultilevel"/>
    <w:tmpl w:val="82AE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F76"/>
    <w:multiLevelType w:val="multilevel"/>
    <w:tmpl w:val="ABD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87D0F"/>
    <w:multiLevelType w:val="hybridMultilevel"/>
    <w:tmpl w:val="1630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E42DD"/>
    <w:multiLevelType w:val="hybridMultilevel"/>
    <w:tmpl w:val="D2AE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15DE8"/>
    <w:multiLevelType w:val="hybridMultilevel"/>
    <w:tmpl w:val="C6E4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2"/>
    <w:rsid w:val="00010F41"/>
    <w:rsid w:val="0007578A"/>
    <w:rsid w:val="000E60FF"/>
    <w:rsid w:val="005E348C"/>
    <w:rsid w:val="006104BD"/>
    <w:rsid w:val="00AB41E2"/>
    <w:rsid w:val="00BA75B0"/>
    <w:rsid w:val="00BB0C9B"/>
    <w:rsid w:val="00C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41E2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41E2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en-US" sz="1399">
                <a:solidFill>
                  <a:srgbClr val="1E07C5"/>
                </a:solidFill>
              </a:rPr>
              <a:t>English: Do you believe in a superior entity?</a:t>
            </a:r>
            <a:br>
              <a:rPr lang="en-US" sz="1399">
                <a:solidFill>
                  <a:srgbClr val="1E07C5"/>
                </a:solidFill>
              </a:rPr>
            </a:br>
            <a:r>
              <a:rPr lang="en-US" sz="1399">
                <a:solidFill>
                  <a:srgbClr val="1E07C5"/>
                </a:solidFill>
              </a:rPr>
              <a:t>
Italiano</a:t>
            </a:r>
            <a:r>
              <a:rPr lang="en-US" sz="1399" baseline="0">
                <a:solidFill>
                  <a:srgbClr val="1E07C5"/>
                </a:solidFill>
              </a:rPr>
              <a:t>: Credi in qualche entita' superiore</a:t>
            </a:r>
            <a:br>
              <a:rPr lang="en-US" sz="1399" baseline="0">
                <a:solidFill>
                  <a:srgbClr val="1E07C5"/>
                </a:solidFill>
              </a:rPr>
            </a:br>
            <a:r>
              <a:rPr lang="en-US" sz="1599" baseline="0">
                <a:solidFill>
                  <a:srgbClr val="1E07C5"/>
                </a:solidFill>
              </a:rPr>
              <a:t>?
Tot</a:t>
            </a:r>
            <a:endParaRPr lang="en-US" sz="1600">
              <a:solidFill>
                <a:srgbClr val="1E07C5"/>
              </a:solidFill>
            </a:endParaRPr>
          </a:p>
        </c:rich>
      </c:tx>
      <c:layout>
        <c:manualLayout>
          <c:xMode val="edge"/>
          <c:yMode val="edge"/>
          <c:x val="0.21108322749978833"/>
          <c:y val="2.92683127402808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74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1E07C5"/>
                </a:solidFill>
              </a:rPr>
              <a:t>English:Do yuo believe in a</a:t>
            </a:r>
            <a:r>
              <a:rPr lang="en-US" sz="1399" baseline="0">
                <a:solidFill>
                  <a:srgbClr val="1E07C5"/>
                </a:solidFill>
              </a:rPr>
              <a:t> superior entity?</a:t>
            </a:r>
            <a:br>
              <a:rPr lang="en-US" sz="1399" baseline="0">
                <a:solidFill>
                  <a:srgbClr val="1E07C5"/>
                </a:solidFill>
              </a:rPr>
            </a:br>
            <a:r>
              <a:rPr lang="en-US" sz="1399" baseline="0">
                <a:solidFill>
                  <a:srgbClr val="1E07C5"/>
                </a:solidFill>
              </a:rPr>
              <a:t>
Italiano:Credi in una qualche entita' superiore</a:t>
            </a:r>
            <a:br>
              <a:rPr lang="en-US" sz="1399" baseline="0">
                <a:solidFill>
                  <a:srgbClr val="1E07C5"/>
                </a:solidFill>
              </a:rPr>
            </a:br>
            <a:r>
              <a:rPr lang="en-US" sz="1598" baseline="0">
                <a:solidFill>
                  <a:srgbClr val="1E07C5"/>
                </a:solidFill>
              </a:rPr>
              <a:t>?
Tot</a:t>
            </a:r>
            <a:endParaRPr lang="en-US" sz="1600">
              <a:solidFill>
                <a:srgbClr val="1E07C5"/>
              </a:solidFill>
            </a:endParaRPr>
          </a:p>
        </c:rich>
      </c:tx>
      <c:layout>
        <c:manualLayout>
          <c:xMode val="edge"/>
          <c:yMode val="edge"/>
          <c:x val="0.22324757792372729"/>
          <c:y val="1.975321439250473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61088"/>
        <c:axId val="89162880"/>
      </c:barChart>
      <c:catAx>
        <c:axId val="89161088"/>
        <c:scaling>
          <c:orientation val="minMax"/>
        </c:scaling>
        <c:delete val="1"/>
        <c:axPos val="b"/>
        <c:majorTickMark val="out"/>
        <c:minorTickMark val="none"/>
        <c:tickLblPos val="nextTo"/>
        <c:crossAx val="89162880"/>
        <c:crosses val="autoZero"/>
        <c:auto val="1"/>
        <c:lblAlgn val="ctr"/>
        <c:lblOffset val="100"/>
        <c:noMultiLvlLbl val="0"/>
      </c:catAx>
      <c:valAx>
        <c:axId val="89162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916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rgbClr val="1E07C5"/>
                </a:solidFill>
              </a:rPr>
              <a:t>English: Do yuo believe</a:t>
            </a:r>
            <a:r>
              <a:rPr lang="en-US" sz="1400" baseline="0">
                <a:solidFill>
                  <a:srgbClr val="1E07C5"/>
                </a:solidFill>
              </a:rPr>
              <a:t> in a superior entity?</a:t>
            </a:r>
            <a:br>
              <a:rPr lang="en-US" sz="1400" baseline="0">
                <a:solidFill>
                  <a:srgbClr val="1E07C5"/>
                </a:solidFill>
              </a:rPr>
            </a:br>
            <a:r>
              <a:rPr lang="en-US" sz="1400" baseline="0">
                <a:solidFill>
                  <a:srgbClr val="1E07C5"/>
                </a:solidFill>
              </a:rPr>
              <a:t>
Italiano:Credi in una qualche entita' superiore</a:t>
            </a:r>
            <a:r>
              <a:rPr lang="en-US" baseline="0">
                <a:solidFill>
                  <a:srgbClr val="1E07C5"/>
                </a:solidFill>
              </a:rPr>
              <a:t/>
            </a:r>
            <a:br>
              <a:rPr lang="en-US" baseline="0">
                <a:solidFill>
                  <a:srgbClr val="1E07C5"/>
                </a:solidFill>
              </a:rPr>
            </a:br>
            <a:r>
              <a:rPr lang="en-US" sz="1599" baseline="0">
                <a:solidFill>
                  <a:srgbClr val="1E07C5"/>
                </a:solidFill>
              </a:rPr>
              <a:t>?
M</a:t>
            </a:r>
            <a:endParaRPr lang="en-US" sz="1600">
              <a:solidFill>
                <a:srgbClr val="1E07C5"/>
              </a:solidFill>
            </a:endParaRPr>
          </a:p>
        </c:rich>
      </c:tx>
      <c:layout>
        <c:manualLayout>
          <c:xMode val="edge"/>
          <c:yMode val="edge"/>
          <c:x val="0.21550022315853265"/>
          <c:y val="1.422220345781174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1E07C5"/>
                </a:solidFill>
              </a:rPr>
              <a:t>English:Do yuo believe in a superior entity?</a:t>
            </a:r>
            <a:br>
              <a:rPr lang="en-US" sz="1399">
                <a:solidFill>
                  <a:srgbClr val="1E07C5"/>
                </a:solidFill>
              </a:rPr>
            </a:br>
            <a:r>
              <a:rPr lang="en-US" sz="1399">
                <a:solidFill>
                  <a:srgbClr val="1E07C5"/>
                </a:solidFill>
              </a:rPr>
              <a:t>
Italiano:Cred</a:t>
            </a:r>
            <a:r>
              <a:rPr lang="en-US" sz="1399" baseline="0">
                <a:solidFill>
                  <a:srgbClr val="1E07C5"/>
                </a:solidFill>
              </a:rPr>
              <a:t>i in una qualche entita' superiore</a:t>
            </a:r>
            <a:r>
              <a:rPr lang="en-US" baseline="0"/>
              <a:t/>
            </a:r>
            <a:br>
              <a:rPr lang="en-US" baseline="0"/>
            </a:br>
            <a:r>
              <a:rPr lang="en-US" sz="1599" baseline="0">
                <a:solidFill>
                  <a:srgbClr val="1E07C5"/>
                </a:solidFill>
              </a:rPr>
              <a:t>?
M</a:t>
            </a:r>
            <a:endParaRPr lang="en-US" sz="1600">
              <a:solidFill>
                <a:srgbClr val="1E07C5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342912"/>
        <c:axId val="88344448"/>
      </c:barChart>
      <c:catAx>
        <c:axId val="88342912"/>
        <c:scaling>
          <c:orientation val="minMax"/>
        </c:scaling>
        <c:delete val="1"/>
        <c:axPos val="b"/>
        <c:majorTickMark val="out"/>
        <c:minorTickMark val="none"/>
        <c:tickLblPos val="nextTo"/>
        <c:crossAx val="88344448"/>
        <c:crosses val="autoZero"/>
        <c:auto val="1"/>
        <c:lblAlgn val="ctr"/>
        <c:lblOffset val="100"/>
        <c:noMultiLvlLbl val="0"/>
      </c:catAx>
      <c:valAx>
        <c:axId val="88344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8342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8">
                <a:solidFill>
                  <a:srgbClr val="1E07C5"/>
                </a:solidFill>
              </a:rPr>
              <a:t>English:Do yuo believe in a superior entity?</a:t>
            </a:r>
            <a:br>
              <a:rPr lang="en-US" sz="1398">
                <a:solidFill>
                  <a:srgbClr val="1E07C5"/>
                </a:solidFill>
              </a:rPr>
            </a:br>
            <a:r>
              <a:rPr lang="en-US" sz="1398">
                <a:solidFill>
                  <a:srgbClr val="1E07C5"/>
                </a:solidFill>
              </a:rPr>
              <a:t>
Italiano:Credi in una qualch</a:t>
            </a:r>
            <a:r>
              <a:rPr lang="en-US" sz="1398" baseline="0">
                <a:solidFill>
                  <a:srgbClr val="1E07C5"/>
                </a:solidFill>
              </a:rPr>
              <a:t>e entita' superiore</a:t>
            </a:r>
            <a:br>
              <a:rPr lang="en-US" sz="1398" baseline="0">
                <a:solidFill>
                  <a:srgbClr val="1E07C5"/>
                </a:solidFill>
              </a:rPr>
            </a:br>
            <a:r>
              <a:rPr lang="en-US" sz="1598" baseline="0">
                <a:solidFill>
                  <a:srgbClr val="1E07C5"/>
                </a:solidFill>
              </a:rPr>
              <a:t>?
Wom</a:t>
            </a:r>
            <a:endParaRPr lang="en-US" sz="1600">
              <a:solidFill>
                <a:srgbClr val="1E07C5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77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1E07C5"/>
                </a:solidFill>
              </a:rPr>
              <a:t>English:Do</a:t>
            </a:r>
            <a:r>
              <a:rPr lang="en-US" sz="1399" baseline="0">
                <a:solidFill>
                  <a:srgbClr val="1E07C5"/>
                </a:solidFill>
              </a:rPr>
              <a:t> you believe in a superior entity?</a:t>
            </a:r>
            <a:br>
              <a:rPr lang="en-US" sz="1399" baseline="0">
                <a:solidFill>
                  <a:srgbClr val="1E07C5"/>
                </a:solidFill>
              </a:rPr>
            </a:br>
            <a:r>
              <a:rPr lang="en-US" sz="1399" baseline="0">
                <a:solidFill>
                  <a:srgbClr val="1E07C5"/>
                </a:solidFill>
              </a:rPr>
              <a:t>
Italiano:Credi in una qualche entita' superiore</a:t>
            </a:r>
            <a:br>
              <a:rPr lang="en-US" sz="1399" baseline="0">
                <a:solidFill>
                  <a:srgbClr val="1E07C5"/>
                </a:solidFill>
              </a:rPr>
            </a:br>
            <a:r>
              <a:rPr lang="en-US" sz="1599" baseline="0">
                <a:solidFill>
                  <a:srgbClr val="1E07C5"/>
                </a:solidFill>
              </a:rPr>
              <a:t>?
Wom</a:t>
            </a:r>
            <a:endParaRPr lang="en-US" sz="1600">
              <a:solidFill>
                <a:srgbClr val="1E07C5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Athiests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22304"/>
        <c:axId val="89123840"/>
      </c:barChart>
      <c:catAx>
        <c:axId val="89122304"/>
        <c:scaling>
          <c:orientation val="minMax"/>
        </c:scaling>
        <c:delete val="1"/>
        <c:axPos val="b"/>
        <c:majorTickMark val="out"/>
        <c:minorTickMark val="none"/>
        <c:tickLblPos val="nextTo"/>
        <c:crossAx val="89123840"/>
        <c:crosses val="autoZero"/>
        <c:auto val="1"/>
        <c:lblAlgn val="ctr"/>
        <c:lblOffset val="100"/>
        <c:noMultiLvlLbl val="0"/>
      </c:catAx>
      <c:valAx>
        <c:axId val="89123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912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</dc:creator>
  <cp:lastModifiedBy>Sofy</cp:lastModifiedBy>
  <cp:revision>2</cp:revision>
  <dcterms:created xsi:type="dcterms:W3CDTF">2014-05-14T13:16:00Z</dcterms:created>
  <dcterms:modified xsi:type="dcterms:W3CDTF">2014-05-14T13:16:00Z</dcterms:modified>
</cp:coreProperties>
</file>