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0A" w:rsidRPr="006D108C" w:rsidRDefault="00F30B63" w:rsidP="00884D91">
      <w:pPr>
        <w:rPr>
          <w:b/>
          <w:i/>
          <w:color w:val="FF0000"/>
        </w:rPr>
      </w:pPr>
      <w:r>
        <w:rPr>
          <w:b/>
          <w:i/>
          <w:color w:val="FF0000"/>
        </w:rPr>
        <w:t>13</w:t>
      </w:r>
      <w:bookmarkStart w:id="0" w:name="_GoBack"/>
      <w:bookmarkEnd w:id="0"/>
      <w:r w:rsidR="0083790A" w:rsidRPr="006D108C">
        <w:rPr>
          <w:b/>
          <w:i/>
          <w:color w:val="FF0000"/>
        </w:rPr>
        <w:t xml:space="preserve"> Novembre appunti:</w:t>
      </w:r>
    </w:p>
    <w:p w:rsidR="0083790A" w:rsidRPr="006D108C" w:rsidRDefault="0083790A" w:rsidP="00884D91">
      <w:pPr>
        <w:rPr>
          <w:sz w:val="18"/>
          <w:szCs w:val="18"/>
        </w:rPr>
      </w:pPr>
    </w:p>
    <w:p w:rsidR="00560033" w:rsidRPr="006D108C" w:rsidRDefault="00884D91" w:rsidP="00884D91">
      <w:pPr>
        <w:pStyle w:val="Paragrafoelenco"/>
        <w:numPr>
          <w:ilvl w:val="0"/>
          <w:numId w:val="1"/>
        </w:numPr>
      </w:pPr>
      <w:r w:rsidRPr="006D108C">
        <w:t xml:space="preserve">Video in cui si spiega il senso del progetto. 3 </w:t>
      </w:r>
      <w:proofErr w:type="spellStart"/>
      <w:r w:rsidRPr="006D108C">
        <w:t>min</w:t>
      </w:r>
      <w:proofErr w:type="spellEnd"/>
      <w:r w:rsidRPr="006D108C">
        <w:t xml:space="preserve"> massimo di durata.</w:t>
      </w:r>
    </w:p>
    <w:p w:rsidR="00884D91" w:rsidRPr="006D108C" w:rsidRDefault="00884D91" w:rsidP="00884D91">
      <w:pPr>
        <w:pStyle w:val="Paragrafoelenco"/>
      </w:pPr>
      <w:r w:rsidRPr="006D108C">
        <w:t>Contributo che abbiamo voluto sperimentare attraverso (manca un pezzo)… educarci a diventare persone attente al multiculturalismo e multilinguismo, non è stato facile, ma ci ha permesso di capire perché il mondo attuale è definito complesso. Siamo stati costretti ad imparare continuamente che il mondo non è traducibile, che la traduzione è una mediazione per comunicare un’idea e non una parola, che non può avere un corrispettivo identico.</w:t>
      </w:r>
      <w:r w:rsidR="00251E26" w:rsidRPr="006D108C">
        <w:t xml:space="preserve"> Inoltre, facendo attività di comparazione che ha richiesto molto tempo, abbiamo compreso che il pensiero deve essere trasformato accettando di utilizzare le convenzioni sintattiche, sonore e lessicali di un altro sistema e che la traduzione propone di fatto un’ipotesi di interpretazione. Questo fa capire che l’incontro con l’Altro, come l’incontro con altre lingue, richiede la capacità di decentrarsi da se, dalle proprie abitudini linguistiche e culturali e quindi richiede uno sforzo costante e la disponibilità a mettersi in gioco.</w:t>
      </w:r>
      <w:r w:rsidR="0083790A" w:rsidRPr="006D108C">
        <w:t>;</w:t>
      </w:r>
    </w:p>
    <w:p w:rsidR="00251E26" w:rsidRPr="00251E26" w:rsidRDefault="00251E26" w:rsidP="0083790A">
      <w:pPr>
        <w:pStyle w:val="Paragrafoelenco"/>
        <w:numPr>
          <w:ilvl w:val="0"/>
          <w:numId w:val="1"/>
        </w:numPr>
      </w:pPr>
      <w:r w:rsidRPr="00251E26">
        <w:t>Prodotto che mostra le tematiche e perché sono attuali</w:t>
      </w:r>
      <w:r w:rsidR="0083790A" w:rsidRPr="006D108C">
        <w:t>;</w:t>
      </w:r>
    </w:p>
    <w:p w:rsidR="00251E26" w:rsidRPr="00251E26" w:rsidRDefault="00251E26" w:rsidP="0083790A">
      <w:pPr>
        <w:pStyle w:val="Paragrafoelenco"/>
        <w:numPr>
          <w:ilvl w:val="0"/>
          <w:numId w:val="1"/>
        </w:numPr>
      </w:pPr>
      <w:r w:rsidRPr="00251E26">
        <w:t>Spiegare cos’è la traduzione</w:t>
      </w:r>
      <w:r w:rsidR="0083790A" w:rsidRPr="006D108C">
        <w:t>;</w:t>
      </w:r>
    </w:p>
    <w:p w:rsidR="00251E26" w:rsidRPr="00251E26" w:rsidRDefault="00251E26" w:rsidP="0083790A">
      <w:pPr>
        <w:pStyle w:val="Paragrafoelenco"/>
        <w:numPr>
          <w:ilvl w:val="0"/>
          <w:numId w:val="1"/>
        </w:numPr>
      </w:pPr>
      <w:r w:rsidRPr="00251E26">
        <w:t>Spiegare cosa significa fare una comparazione linguistica tra versione originale e traduzione</w:t>
      </w:r>
      <w:r w:rsidR="0083790A" w:rsidRPr="006D108C">
        <w:t>;</w:t>
      </w:r>
    </w:p>
    <w:p w:rsidR="00251E26" w:rsidRPr="00251E26" w:rsidRDefault="00251E26" w:rsidP="0083790A">
      <w:pPr>
        <w:pStyle w:val="Paragrafoelenco"/>
        <w:numPr>
          <w:ilvl w:val="0"/>
          <w:numId w:val="1"/>
        </w:numPr>
      </w:pPr>
      <w:r w:rsidRPr="00251E26">
        <w:t>Tabella con caratteristiche dell’Inglese e dell’Italiano con riferimento al libro. Confronto e conclusioni</w:t>
      </w:r>
      <w:r w:rsidR="0083790A" w:rsidRPr="006D108C">
        <w:t>;</w:t>
      </w:r>
    </w:p>
    <w:p w:rsidR="00251E26" w:rsidRPr="006D108C" w:rsidRDefault="00251E26" w:rsidP="0083790A">
      <w:pPr>
        <w:pStyle w:val="Paragrafoelenco"/>
        <w:numPr>
          <w:ilvl w:val="0"/>
          <w:numId w:val="1"/>
        </w:numPr>
      </w:pPr>
      <w:r w:rsidRPr="00251E26">
        <w:t>Spiegare il metodo di lavoro e che cosa cambieremmo per migliorarlo</w:t>
      </w:r>
      <w:r w:rsidR="0083790A" w:rsidRPr="006D108C">
        <w:t>.</w:t>
      </w:r>
    </w:p>
    <w:p w:rsidR="0083790A" w:rsidRPr="006D108C" w:rsidRDefault="0083790A" w:rsidP="0083790A">
      <w:pPr>
        <w:rPr>
          <w:b/>
          <w:i/>
          <w:color w:val="FF0000"/>
        </w:rPr>
      </w:pPr>
    </w:p>
    <w:p w:rsidR="0083790A" w:rsidRPr="006D108C" w:rsidRDefault="0083790A" w:rsidP="0083790A">
      <w:pPr>
        <w:rPr>
          <w:b/>
          <w:i/>
          <w:color w:val="FF0000"/>
        </w:rPr>
      </w:pPr>
      <w:r w:rsidRPr="006D108C">
        <w:rPr>
          <w:b/>
          <w:i/>
          <w:color w:val="FF0000"/>
        </w:rPr>
        <w:t>18 Novembre (appunti di integrazione):</w:t>
      </w:r>
    </w:p>
    <w:p w:rsidR="0083790A" w:rsidRPr="0083790A" w:rsidRDefault="0083790A" w:rsidP="0083790A">
      <w:pPr>
        <w:numPr>
          <w:ilvl w:val="0"/>
          <w:numId w:val="3"/>
        </w:numPr>
        <w:shd w:val="clear" w:color="auto" w:fill="FFFFFF"/>
        <w:spacing w:before="100" w:beforeAutospacing="1" w:after="100" w:afterAutospacing="1" w:line="270" w:lineRule="atLeast"/>
        <w:jc w:val="both"/>
        <w:rPr>
          <w:rFonts w:eastAsia="Times New Roman" w:cs="Tahoma"/>
          <w:color w:val="323234"/>
          <w:lang w:eastAsia="it-IT"/>
        </w:rPr>
      </w:pPr>
      <w:r w:rsidRPr="006D108C">
        <w:rPr>
          <w:rFonts w:eastAsia="Times New Roman" w:cs="Tahoma"/>
          <w:b/>
          <w:bCs/>
          <w:color w:val="323234"/>
          <w:lang w:eastAsia="it-IT"/>
        </w:rPr>
        <w:t>Video</w:t>
      </w:r>
    </w:p>
    <w:p w:rsidR="0083790A" w:rsidRPr="006D108C" w:rsidRDefault="0083790A" w:rsidP="0083790A">
      <w:pPr>
        <w:numPr>
          <w:ilvl w:val="0"/>
          <w:numId w:val="4"/>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Come deve essere? Accattivante.</w:t>
      </w:r>
    </w:p>
    <w:p w:rsidR="0083790A" w:rsidRPr="0083790A" w:rsidRDefault="0083790A" w:rsidP="0083790A">
      <w:pPr>
        <w:numPr>
          <w:ilvl w:val="0"/>
          <w:numId w:val="4"/>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Quali i contenuti?</w:t>
      </w:r>
      <w:r w:rsidRPr="0083790A">
        <w:rPr>
          <w:rFonts w:eastAsia="Times New Roman" w:cs="Tahoma"/>
          <w:color w:val="323234"/>
          <w:lang w:eastAsia="it-IT"/>
        </w:rPr>
        <w:t xml:space="preserve"> </w:t>
      </w:r>
      <w:r w:rsidRPr="006D108C">
        <w:rPr>
          <w:rFonts w:eastAsia="Times New Roman" w:cs="Tahoma"/>
          <w:color w:val="323234"/>
          <w:lang w:eastAsia="it-IT"/>
        </w:rPr>
        <w:t>C</w:t>
      </w:r>
      <w:r w:rsidRPr="0083790A">
        <w:rPr>
          <w:rFonts w:eastAsia="Times New Roman" w:cs="Tahoma"/>
          <w:color w:val="323234"/>
          <w:lang w:eastAsia="it-IT"/>
        </w:rPr>
        <w:t>opertina del libro, America VS Pakistan, lingue, dizionari, analisi, classe</w:t>
      </w:r>
    </w:p>
    <w:p w:rsidR="0083790A" w:rsidRPr="006D108C" w:rsidRDefault="0083790A" w:rsidP="0083790A">
      <w:pPr>
        <w:numPr>
          <w:ilvl w:val="0"/>
          <w:numId w:val="4"/>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Lingua da utilizzare? Inglese.</w:t>
      </w:r>
    </w:p>
    <w:p w:rsidR="0083790A" w:rsidRPr="0083790A" w:rsidRDefault="0083790A" w:rsidP="0083790A">
      <w:pPr>
        <w:numPr>
          <w:ilvl w:val="0"/>
          <w:numId w:val="5"/>
        </w:numPr>
        <w:shd w:val="clear" w:color="auto" w:fill="FFFFFF"/>
        <w:spacing w:before="100" w:beforeAutospacing="1" w:after="100" w:afterAutospacing="1" w:line="270" w:lineRule="atLeast"/>
        <w:jc w:val="both"/>
        <w:rPr>
          <w:rFonts w:eastAsia="Times New Roman" w:cs="Tahoma"/>
          <w:color w:val="323234"/>
          <w:lang w:eastAsia="it-IT"/>
        </w:rPr>
      </w:pPr>
      <w:r w:rsidRPr="006D108C">
        <w:rPr>
          <w:rFonts w:eastAsia="Times New Roman" w:cs="Tahoma"/>
          <w:b/>
          <w:bCs/>
          <w:color w:val="323234"/>
          <w:lang w:eastAsia="it-IT"/>
        </w:rPr>
        <w:t xml:space="preserve">Slide </w:t>
      </w:r>
    </w:p>
    <w:p w:rsidR="0083790A" w:rsidRPr="006D108C" w:rsidRDefault="0083790A" w:rsidP="0083790A">
      <w:pPr>
        <w:numPr>
          <w:ilvl w:val="0"/>
          <w:numId w:val="6"/>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Quale deve essere il fulcro? Il romanzo.</w:t>
      </w:r>
    </w:p>
    <w:p w:rsidR="0083790A" w:rsidRPr="0083790A" w:rsidRDefault="0083790A" w:rsidP="0083790A">
      <w:pPr>
        <w:numPr>
          <w:ilvl w:val="0"/>
          <w:numId w:val="6"/>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Quali i contenuti?</w:t>
      </w:r>
      <w:r w:rsidRPr="0083790A">
        <w:rPr>
          <w:rFonts w:eastAsia="Times New Roman" w:cs="Tahoma"/>
          <w:color w:val="323234"/>
          <w:lang w:eastAsia="it-IT"/>
        </w:rPr>
        <w:t xml:space="preserve"> titolo del romanzo, copertina del romanzo</w:t>
      </w:r>
    </w:p>
    <w:p w:rsidR="0083790A" w:rsidRPr="006D108C" w:rsidRDefault="0083790A" w:rsidP="0083790A">
      <w:pPr>
        <w:numPr>
          <w:ilvl w:val="0"/>
          <w:numId w:val="6"/>
        </w:numPr>
        <w:shd w:val="clear" w:color="auto" w:fill="FFFFFF"/>
        <w:spacing w:before="100" w:beforeAutospacing="1" w:after="120" w:line="270" w:lineRule="atLeast"/>
        <w:ind w:left="60"/>
        <w:jc w:val="both"/>
        <w:rPr>
          <w:rFonts w:eastAsia="Times New Roman" w:cs="Tahoma"/>
          <w:color w:val="323234"/>
          <w:lang w:eastAsia="it-IT"/>
        </w:rPr>
      </w:pPr>
      <w:r w:rsidRPr="0083790A">
        <w:rPr>
          <w:rFonts w:eastAsia="Times New Roman" w:cs="Tahoma"/>
          <w:color w:val="323234"/>
          <w:lang w:eastAsia="it-IT"/>
        </w:rPr>
        <w:t>Lingua</w:t>
      </w:r>
      <w:r w:rsidRPr="006D108C">
        <w:rPr>
          <w:rFonts w:eastAsia="Times New Roman" w:cs="Tahoma"/>
          <w:color w:val="323234"/>
          <w:lang w:eastAsia="it-IT"/>
        </w:rPr>
        <w:t xml:space="preserve"> da utilizzare?</w:t>
      </w:r>
      <w:r w:rsidRPr="0083790A">
        <w:rPr>
          <w:rFonts w:eastAsia="Times New Roman" w:cs="Tahoma"/>
          <w:color w:val="323234"/>
          <w:lang w:eastAsia="it-IT"/>
        </w:rPr>
        <w:t xml:space="preserve"> </w:t>
      </w:r>
      <w:r w:rsidRPr="006D108C">
        <w:rPr>
          <w:rFonts w:eastAsia="Times New Roman" w:cs="Tahoma"/>
          <w:color w:val="323234"/>
          <w:lang w:eastAsia="it-IT"/>
        </w:rPr>
        <w:t xml:space="preserve">Inglese. </w:t>
      </w:r>
    </w:p>
    <w:p w:rsidR="0083790A" w:rsidRPr="006D108C" w:rsidRDefault="0083790A" w:rsidP="0083790A">
      <w:pPr>
        <w:numPr>
          <w:ilvl w:val="0"/>
          <w:numId w:val="6"/>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 xml:space="preserve">Sistemi linguistici da considerare? </w:t>
      </w:r>
      <w:r w:rsidRPr="0083790A">
        <w:rPr>
          <w:rFonts w:eastAsia="Times New Roman" w:cs="Tahoma"/>
          <w:color w:val="323234"/>
          <w:lang w:eastAsia="it-IT"/>
        </w:rPr>
        <w:t>American English, Pakistani Urdu, Italian</w:t>
      </w:r>
      <w:r w:rsidRPr="006D108C">
        <w:rPr>
          <w:rFonts w:eastAsia="Times New Roman" w:cs="Tahoma"/>
          <w:color w:val="323234"/>
          <w:lang w:eastAsia="it-IT"/>
        </w:rPr>
        <w:t>o.</w:t>
      </w:r>
    </w:p>
    <w:p w:rsidR="0083790A" w:rsidRPr="0083790A" w:rsidRDefault="0083790A" w:rsidP="0083790A">
      <w:pPr>
        <w:numPr>
          <w:ilvl w:val="0"/>
          <w:numId w:val="6"/>
        </w:numPr>
        <w:shd w:val="clear" w:color="auto" w:fill="FFFFFF"/>
        <w:spacing w:before="100" w:beforeAutospacing="1" w:after="120" w:line="270" w:lineRule="atLeast"/>
        <w:ind w:left="60"/>
        <w:jc w:val="both"/>
        <w:rPr>
          <w:rFonts w:eastAsia="Times New Roman" w:cs="Tahoma"/>
          <w:color w:val="323234"/>
          <w:lang w:eastAsia="it-IT"/>
        </w:rPr>
      </w:pPr>
      <w:r w:rsidRPr="006D108C">
        <w:rPr>
          <w:rFonts w:eastAsia="Times New Roman" w:cs="Tahoma"/>
          <w:color w:val="323234"/>
          <w:lang w:eastAsia="it-IT"/>
        </w:rPr>
        <w:t>Struttura: temat</w:t>
      </w:r>
      <w:r w:rsidR="006D108C" w:rsidRPr="006D108C">
        <w:rPr>
          <w:rFonts w:eastAsia="Times New Roman" w:cs="Tahoma"/>
          <w:color w:val="323234"/>
          <w:lang w:eastAsia="it-IT"/>
        </w:rPr>
        <w:t xml:space="preserve">iche, processo di apprendimento:, 3 citazione da portare come esempio, ipotesi di conclusione = sistemi linguistici a confronto (testo di partenza e testo di arrivo), conclusione e </w:t>
      </w:r>
      <w:proofErr w:type="spellStart"/>
      <w:r w:rsidR="006D108C" w:rsidRPr="006D108C">
        <w:rPr>
          <w:rFonts w:eastAsia="Times New Roman" w:cs="Tahoma"/>
          <w:b/>
          <w:i/>
          <w:color w:val="323234"/>
          <w:lang w:eastAsia="it-IT"/>
        </w:rPr>
        <w:t>metacognizione</w:t>
      </w:r>
      <w:proofErr w:type="spellEnd"/>
      <w:r w:rsidR="006D108C" w:rsidRPr="006D108C">
        <w:rPr>
          <w:rFonts w:eastAsia="Times New Roman" w:cs="Tahoma"/>
          <w:b/>
          <w:color w:val="323234"/>
          <w:lang w:eastAsia="it-IT"/>
        </w:rPr>
        <w:t xml:space="preserve"> </w:t>
      </w:r>
      <w:r w:rsidR="006D108C" w:rsidRPr="006D108C">
        <w:rPr>
          <w:rFonts w:eastAsia="Times New Roman" w:cs="Tahoma"/>
          <w:color w:val="323234"/>
          <w:lang w:eastAsia="it-IT"/>
        </w:rPr>
        <w:t>(riflessione).</w:t>
      </w:r>
    </w:p>
    <w:p w:rsidR="0083790A" w:rsidRPr="0083790A" w:rsidRDefault="0083790A" w:rsidP="0083790A">
      <w:pPr>
        <w:numPr>
          <w:ilvl w:val="0"/>
          <w:numId w:val="13"/>
        </w:numPr>
        <w:shd w:val="clear" w:color="auto" w:fill="FFFFFF"/>
        <w:spacing w:before="100" w:beforeAutospacing="1" w:after="120" w:line="270" w:lineRule="atLeast"/>
        <w:jc w:val="both"/>
        <w:rPr>
          <w:rFonts w:eastAsia="Times New Roman" w:cs="Tahoma"/>
          <w:color w:val="323234"/>
          <w:lang w:eastAsia="it-IT"/>
        </w:rPr>
      </w:pPr>
      <w:proofErr w:type="spellStart"/>
      <w:r w:rsidRPr="0083790A">
        <w:rPr>
          <w:rFonts w:eastAsia="Times New Roman" w:cs="Tahoma"/>
          <w:color w:val="323234"/>
          <w:lang w:eastAsia="it-IT"/>
        </w:rPr>
        <w:t>Step</w:t>
      </w:r>
      <w:proofErr w:type="spellEnd"/>
      <w:r w:rsidRPr="0083790A">
        <w:rPr>
          <w:rFonts w:eastAsia="Times New Roman" w:cs="Tahoma"/>
          <w:color w:val="323234"/>
          <w:lang w:eastAsia="it-IT"/>
        </w:rPr>
        <w:t xml:space="preserve"> 1: lettura e comprensione</w:t>
      </w:r>
    </w:p>
    <w:p w:rsidR="0083790A" w:rsidRPr="0083790A" w:rsidRDefault="0083790A" w:rsidP="0083790A">
      <w:pPr>
        <w:numPr>
          <w:ilvl w:val="0"/>
          <w:numId w:val="13"/>
        </w:numPr>
        <w:shd w:val="clear" w:color="auto" w:fill="FFFFFF"/>
        <w:spacing w:before="100" w:beforeAutospacing="1" w:after="120" w:line="270" w:lineRule="atLeast"/>
        <w:jc w:val="both"/>
        <w:rPr>
          <w:rFonts w:eastAsia="Times New Roman" w:cs="Tahoma"/>
          <w:color w:val="323234"/>
          <w:lang w:eastAsia="it-IT"/>
        </w:rPr>
      </w:pPr>
      <w:proofErr w:type="spellStart"/>
      <w:r w:rsidRPr="0083790A">
        <w:rPr>
          <w:rFonts w:eastAsia="Times New Roman" w:cs="Tahoma"/>
          <w:color w:val="323234"/>
          <w:lang w:eastAsia="it-IT"/>
        </w:rPr>
        <w:t>Step</w:t>
      </w:r>
      <w:proofErr w:type="spellEnd"/>
      <w:r w:rsidRPr="0083790A">
        <w:rPr>
          <w:rFonts w:eastAsia="Times New Roman" w:cs="Tahoma"/>
          <w:color w:val="323234"/>
          <w:lang w:eastAsia="it-IT"/>
        </w:rPr>
        <w:t xml:space="preserve"> 2: analisi strutturale del testo</w:t>
      </w:r>
    </w:p>
    <w:p w:rsidR="0083790A" w:rsidRPr="0083790A" w:rsidRDefault="0083790A" w:rsidP="0083790A">
      <w:pPr>
        <w:numPr>
          <w:ilvl w:val="0"/>
          <w:numId w:val="13"/>
        </w:numPr>
        <w:shd w:val="clear" w:color="auto" w:fill="FFFFFF"/>
        <w:spacing w:before="100" w:beforeAutospacing="1" w:after="120" w:line="270" w:lineRule="atLeast"/>
        <w:jc w:val="both"/>
        <w:rPr>
          <w:rFonts w:eastAsia="Times New Roman" w:cs="Tahoma"/>
          <w:color w:val="323234"/>
          <w:lang w:eastAsia="it-IT"/>
        </w:rPr>
      </w:pPr>
      <w:proofErr w:type="spellStart"/>
      <w:r w:rsidRPr="0083790A">
        <w:rPr>
          <w:rFonts w:eastAsia="Times New Roman" w:cs="Tahoma"/>
          <w:color w:val="323234"/>
          <w:lang w:eastAsia="it-IT"/>
        </w:rPr>
        <w:t>Step</w:t>
      </w:r>
      <w:proofErr w:type="spellEnd"/>
      <w:r w:rsidRPr="0083790A">
        <w:rPr>
          <w:rFonts w:eastAsia="Times New Roman" w:cs="Tahoma"/>
          <w:color w:val="323234"/>
          <w:lang w:eastAsia="it-IT"/>
        </w:rPr>
        <w:t xml:space="preserve"> 3: contestualizzazione [link: America-Pakistan, Islam, Torri Gemelle, L’Asia siamo noi, documentario RAI Letteratura]</w:t>
      </w:r>
    </w:p>
    <w:p w:rsidR="0083790A" w:rsidRPr="006D108C" w:rsidRDefault="0083790A" w:rsidP="0083790A">
      <w:pPr>
        <w:numPr>
          <w:ilvl w:val="0"/>
          <w:numId w:val="13"/>
        </w:numPr>
        <w:shd w:val="clear" w:color="auto" w:fill="FFFFFF"/>
        <w:spacing w:before="100" w:beforeAutospacing="1" w:after="120" w:line="270" w:lineRule="atLeast"/>
        <w:jc w:val="both"/>
        <w:rPr>
          <w:rFonts w:eastAsia="Times New Roman" w:cs="Tahoma"/>
          <w:color w:val="323234"/>
          <w:lang w:eastAsia="it-IT"/>
        </w:rPr>
      </w:pPr>
      <w:proofErr w:type="spellStart"/>
      <w:r w:rsidRPr="0083790A">
        <w:rPr>
          <w:rFonts w:eastAsia="Times New Roman" w:cs="Tahoma"/>
          <w:color w:val="323234"/>
          <w:lang w:eastAsia="it-IT"/>
        </w:rPr>
        <w:t>Step</w:t>
      </w:r>
      <w:proofErr w:type="spellEnd"/>
      <w:r w:rsidRPr="0083790A">
        <w:rPr>
          <w:rFonts w:eastAsia="Times New Roman" w:cs="Tahoma"/>
          <w:color w:val="323234"/>
          <w:lang w:eastAsia="it-IT"/>
        </w:rPr>
        <w:t xml:space="preserve"> 4: analisi comparata di aspetti linguistico testuali</w:t>
      </w:r>
    </w:p>
    <w:p w:rsidR="006D108C" w:rsidRPr="006D108C" w:rsidRDefault="006D108C" w:rsidP="006D108C">
      <w:pPr>
        <w:pStyle w:val="Paragrafoelenco"/>
        <w:numPr>
          <w:ilvl w:val="0"/>
          <w:numId w:val="5"/>
        </w:numPr>
        <w:shd w:val="clear" w:color="auto" w:fill="FFFFFF"/>
        <w:spacing w:before="100" w:beforeAutospacing="1" w:after="120" w:line="270" w:lineRule="atLeast"/>
        <w:jc w:val="both"/>
        <w:rPr>
          <w:rFonts w:eastAsia="Times New Roman" w:cs="Tahoma"/>
          <w:b/>
          <w:color w:val="323234"/>
          <w:lang w:eastAsia="it-IT"/>
        </w:rPr>
      </w:pPr>
      <w:proofErr w:type="spellStart"/>
      <w:r w:rsidRPr="006D108C">
        <w:rPr>
          <w:rFonts w:eastAsia="Times New Roman" w:cs="Tahoma"/>
          <w:b/>
          <w:color w:val="323234"/>
          <w:lang w:eastAsia="it-IT"/>
        </w:rPr>
        <w:lastRenderedPageBreak/>
        <w:t>Metacognizione</w:t>
      </w:r>
      <w:proofErr w:type="spellEnd"/>
      <w:r w:rsidRPr="006D108C">
        <w:rPr>
          <w:rFonts w:eastAsia="Times New Roman" w:cs="Tahoma"/>
          <w:b/>
          <w:color w:val="323234"/>
          <w:lang w:eastAsia="it-IT"/>
        </w:rPr>
        <w:t>:</w:t>
      </w:r>
    </w:p>
    <w:p w:rsidR="0083790A" w:rsidRPr="0083790A" w:rsidRDefault="006D108C"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6D108C">
        <w:rPr>
          <w:rFonts w:eastAsia="Times New Roman" w:cs="Tahoma"/>
          <w:color w:val="323234"/>
          <w:lang w:eastAsia="it-IT"/>
        </w:rPr>
        <w:t>Lettura per s</w:t>
      </w:r>
      <w:r w:rsidR="0083790A" w:rsidRPr="0083790A">
        <w:rPr>
          <w:rFonts w:eastAsia="Times New Roman" w:cs="Tahoma"/>
          <w:color w:val="323234"/>
          <w:lang w:eastAsia="it-IT"/>
        </w:rPr>
        <w:t>viluppare la comprensione</w:t>
      </w:r>
      <w:r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Imparare nuovi vocaboli</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Diventare consapevoli di come i sistemi linguistici si contaminano</w:t>
      </w:r>
      <w:r w:rsidR="006D108C"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Comparare espressioni, termini e modi di dire</w:t>
      </w:r>
      <w:r w:rsidR="006D108C"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 xml:space="preserve">Valutare il modo in cui </w:t>
      </w:r>
      <w:r w:rsidR="006D108C" w:rsidRPr="006D108C">
        <w:rPr>
          <w:rFonts w:eastAsia="Times New Roman" w:cs="Tahoma"/>
          <w:color w:val="323234"/>
          <w:lang w:eastAsia="it-IT"/>
        </w:rPr>
        <w:t xml:space="preserve">il testo di arrivo ha espresso </w:t>
      </w:r>
      <w:r w:rsidRPr="0083790A">
        <w:rPr>
          <w:rFonts w:eastAsia="Times New Roman" w:cs="Tahoma"/>
          <w:color w:val="323234"/>
          <w:lang w:eastAsia="it-IT"/>
        </w:rPr>
        <w:t>quanto c’era nel testo di partenza</w:t>
      </w:r>
      <w:r w:rsidR="006D108C"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Acquisire consapevolezza della struttura sintattica dell’inglese e dell’italiano</w:t>
      </w:r>
      <w:r w:rsidR="006D108C"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Differenze nell’uso degli articoli</w:t>
      </w:r>
      <w:r w:rsidR="006D108C"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Rilevanza strategica dei nomi propri</w:t>
      </w:r>
      <w:r w:rsidR="006D108C"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Importanza degli aspetti grafici, stile verbale e stile nominale</w:t>
      </w:r>
      <w:r w:rsidR="006D108C" w:rsidRPr="006D108C">
        <w:rPr>
          <w:rFonts w:eastAsia="Times New Roman" w:cs="Tahoma"/>
          <w:color w:val="323234"/>
          <w:lang w:eastAsia="it-IT"/>
        </w:rPr>
        <w:t>;</w:t>
      </w:r>
    </w:p>
    <w:p w:rsidR="0083790A" w:rsidRPr="006D108C" w:rsidRDefault="006D108C" w:rsidP="006D108C">
      <w:pPr>
        <w:pStyle w:val="Paragrafoelenco"/>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6D108C">
        <w:rPr>
          <w:rFonts w:eastAsia="Times New Roman" w:cs="Tahoma"/>
          <w:color w:val="323234"/>
          <w:lang w:eastAsia="it-IT"/>
        </w:rPr>
        <w:t xml:space="preserve">L. </w:t>
      </w:r>
      <w:r w:rsidR="0083790A" w:rsidRPr="006D108C">
        <w:rPr>
          <w:rFonts w:eastAsia="Times New Roman" w:cs="Tahoma"/>
          <w:color w:val="323234"/>
          <w:lang w:eastAsia="it-IT"/>
        </w:rPr>
        <w:t>Potenzialità delle tipologie testuali (monologo drammatico come strategia linguistico-letteraria e socio-culturale)</w:t>
      </w:r>
      <w:r w:rsidRPr="006D108C">
        <w:rPr>
          <w:rFonts w:eastAsia="Times New Roman" w:cs="Tahoma"/>
          <w:color w:val="323234"/>
          <w:lang w:eastAsia="it-IT"/>
        </w:rPr>
        <w:t>;</w:t>
      </w:r>
    </w:p>
    <w:p w:rsidR="0083790A" w:rsidRPr="0083790A" w:rsidRDefault="0083790A" w:rsidP="006D108C">
      <w:pPr>
        <w:numPr>
          <w:ilvl w:val="0"/>
          <w:numId w:val="14"/>
        </w:numPr>
        <w:shd w:val="clear" w:color="auto" w:fill="FFFFFF"/>
        <w:spacing w:before="100" w:beforeAutospacing="1" w:after="100" w:afterAutospacing="1" w:line="270" w:lineRule="atLeast"/>
        <w:jc w:val="both"/>
        <w:rPr>
          <w:rFonts w:eastAsia="Times New Roman" w:cs="Tahoma"/>
          <w:color w:val="323234"/>
          <w:lang w:eastAsia="it-IT"/>
        </w:rPr>
      </w:pPr>
      <w:r w:rsidRPr="0083790A">
        <w:rPr>
          <w:rFonts w:eastAsia="Times New Roman" w:cs="Tahoma"/>
          <w:color w:val="323234"/>
          <w:lang w:eastAsia="it-IT"/>
        </w:rPr>
        <w:t>Stereotipi come forme marcate di ideologia</w:t>
      </w:r>
      <w:r w:rsidR="006D108C" w:rsidRPr="006D108C">
        <w:rPr>
          <w:rFonts w:eastAsia="Times New Roman" w:cs="Tahoma"/>
          <w:color w:val="323234"/>
          <w:lang w:eastAsia="it-IT"/>
        </w:rPr>
        <w:t>.</w:t>
      </w:r>
    </w:p>
    <w:p w:rsidR="0083790A" w:rsidRPr="0083790A" w:rsidRDefault="0083790A" w:rsidP="0083790A">
      <w:pPr>
        <w:shd w:val="clear" w:color="auto" w:fill="FFFFFF"/>
        <w:spacing w:before="100" w:beforeAutospacing="1" w:after="120" w:line="270" w:lineRule="atLeast"/>
        <w:jc w:val="both"/>
        <w:rPr>
          <w:rFonts w:eastAsia="Times New Roman" w:cs="Tahoma"/>
          <w:color w:val="323234"/>
          <w:lang w:eastAsia="it-IT"/>
        </w:rPr>
      </w:pPr>
    </w:p>
    <w:p w:rsidR="00251E26" w:rsidRPr="006D108C" w:rsidRDefault="00251E26" w:rsidP="0083790A">
      <w:pPr>
        <w:ind w:left="360"/>
      </w:pPr>
    </w:p>
    <w:sectPr w:rsidR="00251E26" w:rsidRPr="006D108C" w:rsidSect="006D108C">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5D3"/>
    <w:multiLevelType w:val="multilevel"/>
    <w:tmpl w:val="21287B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9D948A8"/>
    <w:multiLevelType w:val="multilevel"/>
    <w:tmpl w:val="5436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82AB1"/>
    <w:multiLevelType w:val="multilevel"/>
    <w:tmpl w:val="28BC1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F16E71"/>
    <w:multiLevelType w:val="multilevel"/>
    <w:tmpl w:val="639CE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95686A"/>
    <w:multiLevelType w:val="multilevel"/>
    <w:tmpl w:val="D13EE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D5A6D"/>
    <w:multiLevelType w:val="multilevel"/>
    <w:tmpl w:val="A4060D6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nsid w:val="3A27353B"/>
    <w:multiLevelType w:val="multilevel"/>
    <w:tmpl w:val="B5B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A4960"/>
    <w:multiLevelType w:val="multilevel"/>
    <w:tmpl w:val="4DFC47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FB5EBD"/>
    <w:multiLevelType w:val="multilevel"/>
    <w:tmpl w:val="965E2C18"/>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nsid w:val="58BE37B0"/>
    <w:multiLevelType w:val="multilevel"/>
    <w:tmpl w:val="11CE8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AE3165"/>
    <w:multiLevelType w:val="multilevel"/>
    <w:tmpl w:val="6C3E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5412FD"/>
    <w:multiLevelType w:val="hybridMultilevel"/>
    <w:tmpl w:val="5F9E9F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2D2EE3"/>
    <w:multiLevelType w:val="multilevel"/>
    <w:tmpl w:val="D43814EA"/>
    <w:lvl w:ilvl="0">
      <w:start w:val="1"/>
      <w:numFmt w:val="bullet"/>
      <w:lvlText w:val="o"/>
      <w:lvlJc w:val="left"/>
      <w:pPr>
        <w:tabs>
          <w:tab w:val="num" w:pos="2520"/>
        </w:tabs>
        <w:ind w:left="2520" w:hanging="360"/>
      </w:pPr>
      <w:rPr>
        <w:rFonts w:ascii="Courier New" w:hAnsi="Courier New" w:cs="Courier New"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nsid w:val="7C6B6FE4"/>
    <w:multiLevelType w:val="hybridMultilevel"/>
    <w:tmpl w:val="EE1C4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8"/>
  </w:num>
  <w:num w:numId="5">
    <w:abstractNumId w:val="3"/>
  </w:num>
  <w:num w:numId="6">
    <w:abstractNumId w:val="6"/>
  </w:num>
  <w:num w:numId="7">
    <w:abstractNumId w:val="4"/>
  </w:num>
  <w:num w:numId="8">
    <w:abstractNumId w:val="5"/>
  </w:num>
  <w:num w:numId="9">
    <w:abstractNumId w:val="2"/>
  </w:num>
  <w:num w:numId="10">
    <w:abstractNumId w:val="1"/>
  </w:num>
  <w:num w:numId="11">
    <w:abstractNumId w:val="7"/>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91"/>
    <w:rsid w:val="00251E26"/>
    <w:rsid w:val="002E13AB"/>
    <w:rsid w:val="006D108C"/>
    <w:rsid w:val="0083790A"/>
    <w:rsid w:val="00884D91"/>
    <w:rsid w:val="00CB7B94"/>
    <w:rsid w:val="00F30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4D91"/>
    <w:pPr>
      <w:ind w:left="720"/>
      <w:contextualSpacing/>
    </w:pPr>
  </w:style>
  <w:style w:type="character" w:styleId="Enfasigrassetto">
    <w:name w:val="Strong"/>
    <w:basedOn w:val="Carpredefinitoparagrafo"/>
    <w:uiPriority w:val="22"/>
    <w:qFormat/>
    <w:rsid w:val="0083790A"/>
    <w:rPr>
      <w:b/>
      <w:bCs/>
    </w:rPr>
  </w:style>
  <w:style w:type="character" w:customStyle="1" w:styleId="apple-converted-space">
    <w:name w:val="apple-converted-space"/>
    <w:basedOn w:val="Carpredefinitoparagrafo"/>
    <w:rsid w:val="00837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4D91"/>
    <w:pPr>
      <w:ind w:left="720"/>
      <w:contextualSpacing/>
    </w:pPr>
  </w:style>
  <w:style w:type="character" w:styleId="Enfasigrassetto">
    <w:name w:val="Strong"/>
    <w:basedOn w:val="Carpredefinitoparagrafo"/>
    <w:uiPriority w:val="22"/>
    <w:qFormat/>
    <w:rsid w:val="0083790A"/>
    <w:rPr>
      <w:b/>
      <w:bCs/>
    </w:rPr>
  </w:style>
  <w:style w:type="character" w:customStyle="1" w:styleId="apple-converted-space">
    <w:name w:val="apple-converted-space"/>
    <w:basedOn w:val="Carpredefinitoparagrafo"/>
    <w:rsid w:val="0083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7922">
      <w:bodyDiv w:val="1"/>
      <w:marLeft w:val="0"/>
      <w:marRight w:val="0"/>
      <w:marTop w:val="0"/>
      <w:marBottom w:val="0"/>
      <w:divBdr>
        <w:top w:val="none" w:sz="0" w:space="0" w:color="auto"/>
        <w:left w:val="none" w:sz="0" w:space="0" w:color="auto"/>
        <w:bottom w:val="none" w:sz="0" w:space="0" w:color="auto"/>
        <w:right w:val="none" w:sz="0" w:space="0" w:color="auto"/>
      </w:divBdr>
    </w:div>
    <w:div w:id="2028098343">
      <w:bodyDiv w:val="1"/>
      <w:marLeft w:val="0"/>
      <w:marRight w:val="0"/>
      <w:marTop w:val="0"/>
      <w:marBottom w:val="0"/>
      <w:divBdr>
        <w:top w:val="none" w:sz="0" w:space="0" w:color="auto"/>
        <w:left w:val="none" w:sz="0" w:space="0" w:color="auto"/>
        <w:bottom w:val="none" w:sz="0" w:space="0" w:color="auto"/>
        <w:right w:val="none" w:sz="0" w:space="0" w:color="auto"/>
      </w:divBdr>
    </w:div>
    <w:div w:id="20567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449</Words>
  <Characters>2561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2014-11-18T19:23:00Z</dcterms:created>
  <dcterms:modified xsi:type="dcterms:W3CDTF">2014-11-18T20:07:00Z</dcterms:modified>
</cp:coreProperties>
</file>