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Look w:val="04A0"/>
      </w:tblPr>
      <w:tblGrid>
        <w:gridCol w:w="3259"/>
        <w:gridCol w:w="3259"/>
        <w:gridCol w:w="3260"/>
      </w:tblGrid>
      <w:tr w:rsidR="00E053AB" w:rsidRPr="002508C6" w:rsidTr="00577545">
        <w:tc>
          <w:tcPr>
            <w:tcW w:w="3259" w:type="dxa"/>
          </w:tcPr>
          <w:p w:rsidR="00E053AB" w:rsidRPr="002508C6" w:rsidRDefault="00E053AB" w:rsidP="00577545">
            <w:pPr>
              <w:jc w:val="center"/>
              <w:rPr>
                <w:b/>
                <w:sz w:val="28"/>
                <w:szCs w:val="28"/>
                <w:lang w:val="en-GB"/>
              </w:rPr>
            </w:pPr>
            <w:r w:rsidRPr="002508C6">
              <w:rPr>
                <w:b/>
                <w:sz w:val="28"/>
                <w:szCs w:val="28"/>
                <w:lang w:val="en-GB"/>
              </w:rPr>
              <w:t>Quotations:</w:t>
            </w:r>
          </w:p>
          <w:p w:rsidR="00E053AB" w:rsidRPr="002508C6" w:rsidRDefault="00E053AB" w:rsidP="00577545">
            <w:pPr>
              <w:jc w:val="center"/>
              <w:rPr>
                <w:lang w:val="en-GB"/>
              </w:rPr>
            </w:pPr>
            <w:r w:rsidRPr="002508C6">
              <w:rPr>
                <w:sz w:val="28"/>
                <w:szCs w:val="28"/>
                <w:lang w:val="en-GB"/>
              </w:rPr>
              <w:t>Original version</w:t>
            </w:r>
          </w:p>
        </w:tc>
        <w:tc>
          <w:tcPr>
            <w:tcW w:w="3259" w:type="dxa"/>
          </w:tcPr>
          <w:p w:rsidR="00E053AB" w:rsidRPr="002508C6" w:rsidRDefault="00E053AB" w:rsidP="00577545">
            <w:pPr>
              <w:jc w:val="center"/>
              <w:rPr>
                <w:b/>
                <w:color w:val="002060"/>
                <w:sz w:val="28"/>
                <w:szCs w:val="28"/>
                <w:lang w:val="en-GB"/>
              </w:rPr>
            </w:pPr>
            <w:r w:rsidRPr="002508C6">
              <w:rPr>
                <w:b/>
                <w:color w:val="002060"/>
                <w:sz w:val="28"/>
                <w:szCs w:val="28"/>
                <w:lang w:val="en-GB"/>
              </w:rPr>
              <w:t>Quotations:</w:t>
            </w:r>
          </w:p>
          <w:p w:rsidR="00E053AB" w:rsidRPr="002508C6" w:rsidRDefault="00E053AB" w:rsidP="00577545">
            <w:pPr>
              <w:jc w:val="center"/>
              <w:rPr>
                <w:lang w:val="en-GB"/>
              </w:rPr>
            </w:pPr>
            <w:r w:rsidRPr="002508C6">
              <w:rPr>
                <w:color w:val="002060"/>
                <w:sz w:val="28"/>
                <w:szCs w:val="28"/>
                <w:lang w:val="en-GB"/>
              </w:rPr>
              <w:t>Italian translation</w:t>
            </w:r>
          </w:p>
        </w:tc>
        <w:tc>
          <w:tcPr>
            <w:tcW w:w="3260" w:type="dxa"/>
          </w:tcPr>
          <w:p w:rsidR="00E053AB" w:rsidRPr="002508C6" w:rsidRDefault="00E053AB" w:rsidP="00577545">
            <w:pPr>
              <w:jc w:val="center"/>
              <w:rPr>
                <w:lang w:val="en-GB"/>
              </w:rPr>
            </w:pPr>
            <w:r w:rsidRPr="002508C6">
              <w:rPr>
                <w:color w:val="000000" w:themeColor="text1"/>
                <w:sz w:val="28"/>
                <w:szCs w:val="28"/>
                <w:lang w:val="en-GB"/>
              </w:rPr>
              <w:t>Comparative analysis</w:t>
            </w:r>
          </w:p>
        </w:tc>
      </w:tr>
      <w:tr w:rsidR="00E053AB" w:rsidRPr="002508C6" w:rsidTr="00577545">
        <w:tc>
          <w:tcPr>
            <w:tcW w:w="3259" w:type="dxa"/>
          </w:tcPr>
          <w:p w:rsidR="00E053AB" w:rsidRPr="002508C6" w:rsidRDefault="002508C6" w:rsidP="00577545">
            <w:pPr>
              <w:rPr>
                <w:lang w:val="en-GB"/>
              </w:rPr>
            </w:pPr>
            <w:r w:rsidRPr="002508C6">
              <w:rPr>
                <w:lang w:val="en-GB"/>
              </w:rPr>
              <w:t>“I was immediately a New Yorker.”</w:t>
            </w:r>
          </w:p>
        </w:tc>
        <w:tc>
          <w:tcPr>
            <w:tcW w:w="3259" w:type="dxa"/>
          </w:tcPr>
          <w:p w:rsidR="00E053AB" w:rsidRPr="0050796F" w:rsidRDefault="002508C6" w:rsidP="00577545">
            <w:pPr>
              <w:rPr>
                <w:color w:val="002060"/>
                <w:lang w:val="en-GB"/>
              </w:rPr>
            </w:pPr>
            <w:r w:rsidRPr="0050796F">
              <w:rPr>
                <w:color w:val="002060"/>
                <w:lang w:val="en-GB"/>
              </w:rPr>
              <w:t>“Mi ritrovai ad essere immediatamente newyorkese.”</w:t>
            </w:r>
          </w:p>
        </w:tc>
        <w:tc>
          <w:tcPr>
            <w:tcW w:w="3260" w:type="dxa"/>
            <w:vMerge w:val="restart"/>
          </w:tcPr>
          <w:p w:rsidR="00E053AB" w:rsidRPr="0050796F" w:rsidRDefault="002508C6" w:rsidP="00577545">
            <w:pPr>
              <w:rPr>
                <w:sz w:val="24"/>
                <w:szCs w:val="24"/>
                <w:lang w:val="en-GB"/>
              </w:rPr>
            </w:pPr>
            <w:r w:rsidRPr="0050796F">
              <w:rPr>
                <w:sz w:val="24"/>
                <w:szCs w:val="24"/>
                <w:lang w:val="en-US"/>
              </w:rPr>
              <w:t>The use of “mi ritrovai” in the Italian version suggests that the protagonist be subjected to the circumstances.</w:t>
            </w: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Reason for choice:</w:t>
            </w:r>
          </w:p>
          <w:p w:rsidR="00E053AB" w:rsidRPr="002508C6" w:rsidRDefault="002508C6" w:rsidP="00577545">
            <w:pPr>
              <w:rPr>
                <w:lang w:val="en-US"/>
              </w:rPr>
            </w:pPr>
            <w:r w:rsidRPr="0050796F">
              <w:rPr>
                <w:sz w:val="24"/>
                <w:szCs w:val="24"/>
                <w:lang w:val="en-US"/>
              </w:rPr>
              <w:t xml:space="preserve">The short phrase shows </w:t>
            </w:r>
            <w:r w:rsidRPr="0050796F">
              <w:rPr>
                <w:b/>
                <w:color w:val="FF0000"/>
                <w:sz w:val="24"/>
                <w:szCs w:val="24"/>
                <w:lang w:val="en-US"/>
              </w:rPr>
              <w:t>Changez’s feelings</w:t>
            </w:r>
            <w:r w:rsidRPr="0050796F">
              <w:rPr>
                <w:sz w:val="24"/>
                <w:szCs w:val="24"/>
                <w:lang w:val="en-US"/>
              </w:rPr>
              <w:t xml:space="preserve"> in a new city.</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Analysis:</w:t>
            </w:r>
          </w:p>
          <w:p w:rsidR="00E053AB" w:rsidRPr="002508C6" w:rsidRDefault="002508C6" w:rsidP="00577545">
            <w:pPr>
              <w:rPr>
                <w:lang w:val="en-GB"/>
              </w:rPr>
            </w:pPr>
            <w:r w:rsidRPr="0050796F">
              <w:rPr>
                <w:sz w:val="24"/>
                <w:szCs w:val="24"/>
                <w:lang w:val="en-US"/>
              </w:rPr>
              <w:t>“Immediately” is an adverb that shows the quickness with which Changez feels himself New Yorker. The verb “to be” is used at the simple past; therefore the reader can understand that the protagonist felt this emotion in the past, now it is different. He changed his feelings. There is not a sense of continuousness.</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Possible conclusion:</w:t>
            </w:r>
          </w:p>
          <w:p w:rsidR="00E053AB" w:rsidRPr="002508C6" w:rsidRDefault="002508C6" w:rsidP="00577545">
            <w:pPr>
              <w:rPr>
                <w:lang w:val="en-GB"/>
              </w:rPr>
            </w:pPr>
            <w:r w:rsidRPr="0050796F">
              <w:rPr>
                <w:sz w:val="24"/>
                <w:szCs w:val="24"/>
                <w:lang w:val="en-GB"/>
              </w:rPr>
              <w:t>The total effect is that Changez feels himself a New Yorker because New York is a multicultural city.</w:t>
            </w:r>
            <w:r>
              <w:rPr>
                <w:lang w:val="en-GB"/>
              </w:rPr>
              <w:t xml:space="preserve"> </w:t>
            </w:r>
          </w:p>
        </w:tc>
        <w:tc>
          <w:tcPr>
            <w:tcW w:w="3260" w:type="dxa"/>
            <w:vMerge/>
          </w:tcPr>
          <w:p w:rsidR="00E053AB" w:rsidRPr="002508C6" w:rsidRDefault="00E053AB" w:rsidP="00577545">
            <w:pPr>
              <w:rPr>
                <w:lang w:val="en-GB"/>
              </w:rPr>
            </w:pPr>
          </w:p>
        </w:tc>
      </w:tr>
      <w:tr w:rsidR="00E053AB" w:rsidRPr="002508C6" w:rsidTr="00577545">
        <w:tc>
          <w:tcPr>
            <w:tcW w:w="3259" w:type="dxa"/>
          </w:tcPr>
          <w:p w:rsidR="00E053AB" w:rsidRPr="002508C6" w:rsidRDefault="002508C6" w:rsidP="00577545">
            <w:pPr>
              <w:rPr>
                <w:lang w:val="en-GB"/>
              </w:rPr>
            </w:pPr>
            <w:r>
              <w:rPr>
                <w:lang w:val="en-US"/>
              </w:rPr>
              <w:t>“</w:t>
            </w:r>
            <w:r w:rsidRPr="00281418">
              <w:rPr>
                <w:lang w:val="en-US"/>
              </w:rPr>
              <w:t>We’re a meritocracy […] We believe in being the best.</w:t>
            </w:r>
            <w:r>
              <w:rPr>
                <w:lang w:val="en-US"/>
              </w:rPr>
              <w:t>”</w:t>
            </w:r>
          </w:p>
        </w:tc>
        <w:tc>
          <w:tcPr>
            <w:tcW w:w="3259" w:type="dxa"/>
          </w:tcPr>
          <w:p w:rsidR="00E053AB" w:rsidRPr="0050796F" w:rsidRDefault="002508C6" w:rsidP="00577545">
            <w:pPr>
              <w:rPr>
                <w:color w:val="002060"/>
                <w:lang w:val="en-GB"/>
              </w:rPr>
            </w:pPr>
            <w:r w:rsidRPr="0050796F">
              <w:rPr>
                <w:color w:val="002060"/>
              </w:rPr>
              <w:t>“Noi siamo una meritocrazia […] Crediamo nell’essere i migliori.”</w:t>
            </w:r>
          </w:p>
        </w:tc>
        <w:tc>
          <w:tcPr>
            <w:tcW w:w="3260" w:type="dxa"/>
            <w:vMerge w:val="restart"/>
          </w:tcPr>
          <w:p w:rsidR="00E053AB" w:rsidRPr="0050796F" w:rsidRDefault="007A4072" w:rsidP="00577545">
            <w:pPr>
              <w:rPr>
                <w:sz w:val="24"/>
                <w:szCs w:val="24"/>
                <w:lang w:val="en-GB"/>
              </w:rPr>
            </w:pPr>
            <w:r w:rsidRPr="0050796F">
              <w:rPr>
                <w:sz w:val="24"/>
                <w:szCs w:val="24"/>
                <w:lang w:val="en-GB"/>
              </w:rPr>
              <w:t xml:space="preserve">There are no syntactical differences, but the English version gives a different impact, stronger than the Italian one. </w:t>
            </w: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Reason for choice:</w:t>
            </w:r>
          </w:p>
          <w:p w:rsidR="00E053AB" w:rsidRPr="002508C6" w:rsidRDefault="007A4072" w:rsidP="002508C6">
            <w:pPr>
              <w:rPr>
                <w:lang w:val="en-GB"/>
              </w:rPr>
            </w:pPr>
            <w:r w:rsidRPr="0050796F">
              <w:rPr>
                <w:sz w:val="24"/>
                <w:szCs w:val="24"/>
                <w:lang w:val="en-GB"/>
              </w:rPr>
              <w:t xml:space="preserve">This quotation shows the </w:t>
            </w:r>
            <w:r w:rsidRPr="0050796F">
              <w:rPr>
                <w:b/>
                <w:color w:val="FF0000"/>
                <w:sz w:val="24"/>
                <w:szCs w:val="24"/>
                <w:lang w:val="en-GB"/>
              </w:rPr>
              <w:t>American society bases itself on meritocracy</w:t>
            </w:r>
            <w:r w:rsidRPr="0050796F">
              <w:rPr>
                <w:sz w:val="24"/>
                <w:szCs w:val="24"/>
                <w:lang w:val="en-GB"/>
              </w:rPr>
              <w:t>.</w:t>
            </w:r>
            <w:r>
              <w:rPr>
                <w:lang w:val="en-GB"/>
              </w:rPr>
              <w:t xml:space="preserve"> </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Analysis:</w:t>
            </w:r>
          </w:p>
          <w:p w:rsidR="00E053AB" w:rsidRPr="0050796F" w:rsidRDefault="002508C6" w:rsidP="00577545">
            <w:pPr>
              <w:rPr>
                <w:sz w:val="24"/>
                <w:szCs w:val="24"/>
                <w:lang w:val="en-GB"/>
              </w:rPr>
            </w:pPr>
            <w:r w:rsidRPr="0050796F">
              <w:rPr>
                <w:sz w:val="24"/>
                <w:szCs w:val="24"/>
                <w:lang w:val="en-US"/>
              </w:rPr>
              <w:t>The use of the pronoun “we” makes the reader understand that people are at the same level. In the second sentence there is an alliteration of the letter “b”; that creates a sense of power.</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Possible conclusion:</w:t>
            </w:r>
          </w:p>
          <w:p w:rsidR="00E053AB" w:rsidRPr="0050796F" w:rsidRDefault="002508C6" w:rsidP="00577545">
            <w:pPr>
              <w:rPr>
                <w:sz w:val="24"/>
                <w:szCs w:val="24"/>
                <w:lang w:val="en-GB"/>
              </w:rPr>
            </w:pPr>
            <w:r w:rsidRPr="0050796F">
              <w:rPr>
                <w:sz w:val="24"/>
                <w:szCs w:val="24"/>
                <w:lang w:val="en-GB"/>
              </w:rPr>
              <w:t>The intelligent reader can understand that Americans are linked to their work. They are totally projected to be the best. Americans based its economy on fundamentalism.</w:t>
            </w:r>
          </w:p>
        </w:tc>
        <w:tc>
          <w:tcPr>
            <w:tcW w:w="3260" w:type="dxa"/>
            <w:vMerge/>
          </w:tcPr>
          <w:p w:rsidR="00E053AB" w:rsidRPr="002508C6" w:rsidRDefault="00E053AB" w:rsidP="00577545">
            <w:pPr>
              <w:rPr>
                <w:lang w:val="en-GB"/>
              </w:rPr>
            </w:pPr>
          </w:p>
        </w:tc>
      </w:tr>
      <w:tr w:rsidR="00E053AB" w:rsidRPr="002508C6" w:rsidTr="00577545">
        <w:tc>
          <w:tcPr>
            <w:tcW w:w="3259" w:type="dxa"/>
          </w:tcPr>
          <w:p w:rsidR="00E053AB" w:rsidRPr="002508C6" w:rsidRDefault="002508C6" w:rsidP="00577545">
            <w:pPr>
              <w:rPr>
                <w:lang w:val="en-GB"/>
              </w:rPr>
            </w:pPr>
            <w:r>
              <w:rPr>
                <w:lang w:val="en-US"/>
              </w:rPr>
              <w:t>“</w:t>
            </w:r>
            <w:r w:rsidRPr="00281418">
              <w:rPr>
                <w:lang w:val="en-US"/>
              </w:rPr>
              <w:t>We were marvelously diverse.</w:t>
            </w:r>
            <w:r>
              <w:rPr>
                <w:lang w:val="en-US"/>
              </w:rPr>
              <w:t>”</w:t>
            </w:r>
          </w:p>
        </w:tc>
        <w:tc>
          <w:tcPr>
            <w:tcW w:w="3259" w:type="dxa"/>
          </w:tcPr>
          <w:p w:rsidR="00E053AB" w:rsidRPr="0050796F" w:rsidRDefault="002508C6" w:rsidP="00577545">
            <w:pPr>
              <w:rPr>
                <w:color w:val="002060"/>
                <w:lang w:val="en-GB"/>
              </w:rPr>
            </w:pPr>
            <w:r w:rsidRPr="0050796F">
              <w:rPr>
                <w:color w:val="002060"/>
              </w:rPr>
              <w:t>“Eravamo meravigliosamente diversi.”</w:t>
            </w:r>
          </w:p>
        </w:tc>
        <w:tc>
          <w:tcPr>
            <w:tcW w:w="3260" w:type="dxa"/>
            <w:vMerge w:val="restart"/>
          </w:tcPr>
          <w:p w:rsidR="00E053AB" w:rsidRDefault="007A4072" w:rsidP="00577545">
            <w:pPr>
              <w:rPr>
                <w:sz w:val="24"/>
                <w:szCs w:val="24"/>
                <w:lang w:val="en-US"/>
              </w:rPr>
            </w:pPr>
            <w:r w:rsidRPr="0050796F">
              <w:rPr>
                <w:sz w:val="24"/>
                <w:szCs w:val="24"/>
                <w:lang w:val="en-US"/>
              </w:rPr>
              <w:t>It does not seem there are many different styles.</w:t>
            </w:r>
          </w:p>
          <w:p w:rsidR="00631362" w:rsidRPr="0050796F" w:rsidRDefault="00631362" w:rsidP="00577545">
            <w:pPr>
              <w:rPr>
                <w:sz w:val="24"/>
                <w:szCs w:val="24"/>
                <w:lang w:val="en-GB"/>
              </w:rPr>
            </w:pPr>
            <w:r>
              <w:rPr>
                <w:sz w:val="24"/>
                <w:szCs w:val="24"/>
                <w:lang w:val="en-US"/>
              </w:rPr>
              <w:t>In the two versions, the adverbs “marvelously” in English, and “</w:t>
            </w:r>
            <w:proofErr w:type="spellStart"/>
            <w:r>
              <w:rPr>
                <w:sz w:val="24"/>
                <w:szCs w:val="24"/>
                <w:lang w:val="en-US"/>
              </w:rPr>
              <w:t>meravigliosamente</w:t>
            </w:r>
            <w:proofErr w:type="spellEnd"/>
            <w:r>
              <w:rPr>
                <w:sz w:val="24"/>
                <w:szCs w:val="24"/>
                <w:lang w:val="en-US"/>
              </w:rPr>
              <w:t xml:space="preserve">” in Italian, seem to occupy the whole sentence. The narrator wants to highlight these adverbs. </w:t>
            </w: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Reason for choice:</w:t>
            </w:r>
          </w:p>
          <w:p w:rsidR="00E053AB" w:rsidRPr="002508C6" w:rsidRDefault="002508C6" w:rsidP="00577545">
            <w:pPr>
              <w:rPr>
                <w:lang w:val="en-GB"/>
              </w:rPr>
            </w:pPr>
            <w:r w:rsidRPr="0050796F">
              <w:rPr>
                <w:sz w:val="24"/>
                <w:szCs w:val="24"/>
                <w:lang w:val="en-GB"/>
              </w:rPr>
              <w:t xml:space="preserve">Changez is amazed because they are all diverse. The theme involved is the </w:t>
            </w:r>
            <w:r w:rsidRPr="0050796F">
              <w:rPr>
                <w:b/>
                <w:color w:val="FF0000"/>
                <w:sz w:val="24"/>
                <w:szCs w:val="24"/>
                <w:lang w:val="en-GB"/>
              </w:rPr>
              <w:t>multiculturalism</w:t>
            </w:r>
            <w:r w:rsidRPr="0050796F">
              <w:rPr>
                <w:sz w:val="24"/>
                <w:szCs w:val="24"/>
                <w:lang w:val="en-GB"/>
              </w:rPr>
              <w:t>.</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Analysis:</w:t>
            </w:r>
          </w:p>
          <w:p w:rsidR="00E053AB" w:rsidRPr="002508C6" w:rsidRDefault="002508C6" w:rsidP="00577545">
            <w:pPr>
              <w:rPr>
                <w:lang w:val="en-GB"/>
              </w:rPr>
            </w:pPr>
            <w:r w:rsidRPr="0050796F">
              <w:rPr>
                <w:sz w:val="24"/>
                <w:szCs w:val="24"/>
                <w:lang w:val="en-US"/>
              </w:rPr>
              <w:t>The reader can understand that the narrator seems amazed because they are all diverse, but they arrived from the same prestigious universities. The adverb “marvelously” makes us aware of what the narrator feels in this moment.</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Possible conclusion:</w:t>
            </w:r>
          </w:p>
          <w:p w:rsidR="00E053AB" w:rsidRPr="0050796F" w:rsidRDefault="002508C6" w:rsidP="00577545">
            <w:pPr>
              <w:rPr>
                <w:sz w:val="24"/>
                <w:szCs w:val="24"/>
                <w:lang w:val="en-GB"/>
              </w:rPr>
            </w:pPr>
            <w:r w:rsidRPr="0050796F">
              <w:rPr>
                <w:sz w:val="24"/>
                <w:szCs w:val="24"/>
                <w:lang w:val="en-GB"/>
              </w:rPr>
              <w:t xml:space="preserve">People in America do not come from the same country. They are all different, but they are chosen for their qualities and not for their traditions. </w:t>
            </w:r>
          </w:p>
        </w:tc>
        <w:tc>
          <w:tcPr>
            <w:tcW w:w="3260" w:type="dxa"/>
            <w:vMerge/>
          </w:tcPr>
          <w:p w:rsidR="00E053AB" w:rsidRPr="002508C6" w:rsidRDefault="00E053AB" w:rsidP="00577545">
            <w:pPr>
              <w:rPr>
                <w:lang w:val="en-GB"/>
              </w:rPr>
            </w:pPr>
          </w:p>
        </w:tc>
      </w:tr>
      <w:tr w:rsidR="00E053AB" w:rsidRPr="002508C6" w:rsidTr="00577545">
        <w:tc>
          <w:tcPr>
            <w:tcW w:w="3259" w:type="dxa"/>
          </w:tcPr>
          <w:p w:rsidR="00E053AB" w:rsidRPr="002508C6" w:rsidRDefault="00365E21" w:rsidP="00577545">
            <w:pPr>
              <w:rPr>
                <w:lang w:val="en-GB"/>
              </w:rPr>
            </w:pPr>
            <w:r>
              <w:rPr>
                <w:lang w:val="en-US"/>
              </w:rPr>
              <w:t>“</w:t>
            </w:r>
            <w:r w:rsidR="00DF358C" w:rsidRPr="00281418">
              <w:rPr>
                <w:lang w:val="en-US"/>
              </w:rPr>
              <w:t>He draws close to you because you are a foreigner.</w:t>
            </w:r>
            <w:r>
              <w:rPr>
                <w:lang w:val="en-US"/>
              </w:rPr>
              <w:t>”</w:t>
            </w:r>
          </w:p>
        </w:tc>
        <w:tc>
          <w:tcPr>
            <w:tcW w:w="3259" w:type="dxa"/>
          </w:tcPr>
          <w:p w:rsidR="00E053AB" w:rsidRPr="0050796F" w:rsidRDefault="00365E21" w:rsidP="00577545">
            <w:pPr>
              <w:rPr>
                <w:color w:val="002060"/>
                <w:lang w:val="en-GB"/>
              </w:rPr>
            </w:pPr>
            <w:r w:rsidRPr="0050796F">
              <w:rPr>
                <w:color w:val="002060"/>
              </w:rPr>
              <w:t>“</w:t>
            </w:r>
            <w:r w:rsidR="00DF358C" w:rsidRPr="0050796F">
              <w:rPr>
                <w:color w:val="002060"/>
              </w:rPr>
              <w:t>Le viene vicino perchè lei è uno straniero.</w:t>
            </w:r>
            <w:r w:rsidRPr="0050796F">
              <w:rPr>
                <w:color w:val="002060"/>
              </w:rPr>
              <w:t>”</w:t>
            </w:r>
          </w:p>
        </w:tc>
        <w:tc>
          <w:tcPr>
            <w:tcW w:w="3260" w:type="dxa"/>
            <w:vMerge w:val="restart"/>
          </w:tcPr>
          <w:p w:rsidR="00E053AB" w:rsidRDefault="00365E21" w:rsidP="00577545">
            <w:pPr>
              <w:rPr>
                <w:sz w:val="24"/>
                <w:szCs w:val="24"/>
                <w:lang w:val="en-GB"/>
              </w:rPr>
            </w:pPr>
            <w:r w:rsidRPr="0050796F">
              <w:rPr>
                <w:sz w:val="24"/>
                <w:szCs w:val="24"/>
                <w:lang w:val="en-GB"/>
              </w:rPr>
              <w:t>Both are similar, but the Italian version is less expressive.</w:t>
            </w:r>
          </w:p>
          <w:p w:rsidR="00631362" w:rsidRPr="0050796F" w:rsidRDefault="00631362" w:rsidP="00631362">
            <w:pPr>
              <w:rPr>
                <w:sz w:val="24"/>
                <w:szCs w:val="24"/>
                <w:lang w:val="en-GB"/>
              </w:rPr>
            </w:pPr>
            <w:r>
              <w:rPr>
                <w:sz w:val="24"/>
                <w:szCs w:val="24"/>
                <w:lang w:val="en-GB"/>
              </w:rPr>
              <w:t xml:space="preserve">The Italian’s use of the pronoun “Lei” in opposition with the English “you” creates </w:t>
            </w:r>
            <w:r>
              <w:rPr>
                <w:sz w:val="24"/>
                <w:szCs w:val="24"/>
                <w:lang w:val="en-GB"/>
              </w:rPr>
              <w:lastRenderedPageBreak/>
              <w:t>a sense of detachment.</w:t>
            </w: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Reason for choice:</w:t>
            </w:r>
          </w:p>
          <w:p w:rsidR="00E053AB" w:rsidRPr="0050796F" w:rsidRDefault="00DF358C" w:rsidP="00577545">
            <w:pPr>
              <w:rPr>
                <w:sz w:val="24"/>
                <w:szCs w:val="24"/>
                <w:lang w:val="en-GB"/>
              </w:rPr>
            </w:pPr>
            <w:r w:rsidRPr="0050796F">
              <w:rPr>
                <w:sz w:val="24"/>
                <w:szCs w:val="24"/>
                <w:lang w:val="en-US"/>
              </w:rPr>
              <w:t xml:space="preserve">The quotation shows the </w:t>
            </w:r>
            <w:r w:rsidRPr="0050796F">
              <w:rPr>
                <w:b/>
                <w:color w:val="FF0000"/>
                <w:sz w:val="24"/>
                <w:szCs w:val="24"/>
                <w:lang w:val="en-US"/>
              </w:rPr>
              <w:t>different cultures</w:t>
            </w:r>
            <w:r w:rsidRPr="0050796F">
              <w:rPr>
                <w:sz w:val="24"/>
                <w:szCs w:val="24"/>
                <w:lang w:val="en-US"/>
              </w:rPr>
              <w:t xml:space="preserve"> between the narrator and the silent interlocutor.</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Analysis:</w:t>
            </w:r>
          </w:p>
          <w:p w:rsidR="00E053AB" w:rsidRPr="0050796F" w:rsidRDefault="00DF358C" w:rsidP="00577545">
            <w:pPr>
              <w:rPr>
                <w:sz w:val="24"/>
                <w:szCs w:val="24"/>
                <w:lang w:val="en-GB"/>
              </w:rPr>
            </w:pPr>
            <w:r w:rsidRPr="0050796F">
              <w:rPr>
                <w:sz w:val="24"/>
                <w:szCs w:val="24"/>
                <w:lang w:val="en-US"/>
              </w:rPr>
              <w:lastRenderedPageBreak/>
              <w:t>The presence of the verb “to draw” at the simple present beefs up the concept. The attention is laid to the pronoun “you”, therefore to the interlocutor. This is also a direct conversation between two people. The interlocutor seems bewildered because he has not the same culture and traditions of Changez.</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lastRenderedPageBreak/>
              <w:t>Possible conclusion:</w:t>
            </w:r>
          </w:p>
          <w:p w:rsidR="00E053AB" w:rsidRPr="002508C6" w:rsidRDefault="00DF358C" w:rsidP="00577545">
            <w:pPr>
              <w:rPr>
                <w:lang w:val="en-GB"/>
              </w:rPr>
            </w:pPr>
            <w:r w:rsidRPr="0050796F">
              <w:rPr>
                <w:sz w:val="24"/>
                <w:szCs w:val="24"/>
                <w:lang w:val="en-GB"/>
              </w:rPr>
              <w:t>People are curios in front of the unknown and in front of something that is different from their routine.</w:t>
            </w:r>
            <w:r>
              <w:rPr>
                <w:lang w:val="en-GB"/>
              </w:rPr>
              <w:t xml:space="preserve"> </w:t>
            </w:r>
          </w:p>
        </w:tc>
        <w:tc>
          <w:tcPr>
            <w:tcW w:w="3260" w:type="dxa"/>
            <w:vMerge/>
          </w:tcPr>
          <w:p w:rsidR="00E053AB" w:rsidRPr="002508C6" w:rsidRDefault="00E053AB" w:rsidP="00577545">
            <w:pPr>
              <w:rPr>
                <w:lang w:val="en-GB"/>
              </w:rPr>
            </w:pPr>
          </w:p>
        </w:tc>
      </w:tr>
      <w:tr w:rsidR="00E053AB" w:rsidRPr="002508C6" w:rsidTr="00577545">
        <w:tc>
          <w:tcPr>
            <w:tcW w:w="3259" w:type="dxa"/>
          </w:tcPr>
          <w:p w:rsidR="00E053AB" w:rsidRPr="002508C6" w:rsidRDefault="00365E21" w:rsidP="00577545">
            <w:pPr>
              <w:rPr>
                <w:lang w:val="en-GB"/>
              </w:rPr>
            </w:pPr>
            <w:r>
              <w:rPr>
                <w:lang w:val="en-US"/>
              </w:rPr>
              <w:t>“</w:t>
            </w:r>
            <w:r w:rsidRPr="00281418">
              <w:rPr>
                <w:lang w:val="en-US"/>
              </w:rPr>
              <w:t>[…]</w:t>
            </w:r>
            <w:r>
              <w:rPr>
                <w:lang w:val="en-US"/>
              </w:rPr>
              <w:t xml:space="preserve"> </w:t>
            </w:r>
            <w:r w:rsidRPr="00281418">
              <w:rPr>
                <w:lang w:val="en-US"/>
              </w:rPr>
              <w:t>an Anglicized accent may in your country continue to be associated with wealth and power, just as it is in mine.</w:t>
            </w:r>
            <w:r>
              <w:rPr>
                <w:lang w:val="en-US"/>
              </w:rPr>
              <w:t>”</w:t>
            </w:r>
          </w:p>
        </w:tc>
        <w:tc>
          <w:tcPr>
            <w:tcW w:w="3259" w:type="dxa"/>
          </w:tcPr>
          <w:p w:rsidR="00E053AB" w:rsidRPr="0050796F" w:rsidRDefault="00365E21" w:rsidP="00577545">
            <w:pPr>
              <w:rPr>
                <w:color w:val="002060"/>
                <w:lang w:val="en-GB"/>
              </w:rPr>
            </w:pPr>
            <w:r w:rsidRPr="0050796F">
              <w:rPr>
                <w:color w:val="002060"/>
              </w:rPr>
              <w:t>“[…]non è così ingiustificato se un accento anglicizzato nel vostro paese continua a essere associato alla ricchezza e al potere, come nel mio.”</w:t>
            </w:r>
          </w:p>
        </w:tc>
        <w:tc>
          <w:tcPr>
            <w:tcW w:w="3260" w:type="dxa"/>
            <w:vMerge w:val="restart"/>
          </w:tcPr>
          <w:p w:rsidR="00E053AB" w:rsidRPr="0050796F" w:rsidRDefault="00BD53D7" w:rsidP="00577545">
            <w:pPr>
              <w:rPr>
                <w:sz w:val="24"/>
                <w:szCs w:val="24"/>
                <w:lang w:val="en-GB"/>
              </w:rPr>
            </w:pPr>
            <w:r w:rsidRPr="0050796F">
              <w:rPr>
                <w:sz w:val="24"/>
                <w:szCs w:val="24"/>
                <w:lang w:val="en-US"/>
              </w:rPr>
              <w:t>In the Italian version the tone is more arrogant “non è così ingiustificato” is an ironic use of language.</w:t>
            </w: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Reason for choice:</w:t>
            </w:r>
          </w:p>
          <w:p w:rsidR="00E053AB" w:rsidRPr="0050796F" w:rsidRDefault="00365E21" w:rsidP="00577545">
            <w:pPr>
              <w:rPr>
                <w:sz w:val="24"/>
                <w:szCs w:val="24"/>
                <w:lang w:val="en-GB"/>
              </w:rPr>
            </w:pPr>
            <w:r w:rsidRPr="0050796F">
              <w:rPr>
                <w:sz w:val="24"/>
                <w:szCs w:val="24"/>
                <w:lang w:val="en-GB"/>
              </w:rPr>
              <w:t xml:space="preserve">The expression demonstrates the </w:t>
            </w:r>
            <w:r w:rsidRPr="0050796F">
              <w:rPr>
                <w:b/>
                <w:color w:val="FF0000"/>
                <w:sz w:val="24"/>
                <w:szCs w:val="24"/>
                <w:lang w:val="en-GB"/>
              </w:rPr>
              <w:t>influence of the European countries</w:t>
            </w:r>
            <w:r w:rsidRPr="0050796F">
              <w:rPr>
                <w:sz w:val="24"/>
                <w:szCs w:val="24"/>
                <w:lang w:val="en-GB"/>
              </w:rPr>
              <w:t xml:space="preserve"> in front of the colonies. </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Analysis:</w:t>
            </w:r>
          </w:p>
          <w:p w:rsidR="00E053AB" w:rsidRPr="0050796F" w:rsidRDefault="00365E21" w:rsidP="00577545">
            <w:pPr>
              <w:rPr>
                <w:sz w:val="24"/>
                <w:szCs w:val="24"/>
                <w:lang w:val="en-US"/>
              </w:rPr>
            </w:pPr>
            <w:r w:rsidRPr="0050796F">
              <w:rPr>
                <w:sz w:val="24"/>
                <w:szCs w:val="24"/>
                <w:lang w:val="en-US"/>
              </w:rPr>
              <w:t xml:space="preserve">The use of the simple present and the adverb “just” makes the reader understand that there is continuity. It is not concluded; it persists in the present.  </w:t>
            </w:r>
          </w:p>
        </w:tc>
        <w:tc>
          <w:tcPr>
            <w:tcW w:w="3260" w:type="dxa"/>
            <w:vMerge/>
          </w:tcPr>
          <w:p w:rsidR="00E053AB" w:rsidRPr="002508C6" w:rsidRDefault="00E053AB" w:rsidP="00577545">
            <w:pPr>
              <w:rPr>
                <w:lang w:val="en-GB"/>
              </w:rPr>
            </w:pPr>
          </w:p>
        </w:tc>
      </w:tr>
      <w:tr w:rsidR="00E053AB" w:rsidRPr="002508C6" w:rsidTr="00577545">
        <w:trPr>
          <w:trHeight w:val="90"/>
        </w:trPr>
        <w:tc>
          <w:tcPr>
            <w:tcW w:w="6518" w:type="dxa"/>
            <w:gridSpan w:val="2"/>
          </w:tcPr>
          <w:p w:rsidR="009077A1" w:rsidRPr="0050796F" w:rsidRDefault="009077A1" w:rsidP="009077A1">
            <w:pPr>
              <w:rPr>
                <w:b/>
                <w:sz w:val="24"/>
                <w:szCs w:val="24"/>
                <w:lang w:val="en-GB"/>
              </w:rPr>
            </w:pPr>
            <w:r w:rsidRPr="0050796F">
              <w:rPr>
                <w:b/>
                <w:sz w:val="24"/>
                <w:szCs w:val="24"/>
                <w:lang w:val="en-GB"/>
              </w:rPr>
              <w:t>Possible conclusion:</w:t>
            </w:r>
          </w:p>
          <w:p w:rsidR="00E053AB" w:rsidRPr="0050796F" w:rsidRDefault="00BD53D7" w:rsidP="00577545">
            <w:pPr>
              <w:rPr>
                <w:sz w:val="24"/>
                <w:szCs w:val="24"/>
                <w:lang w:val="en-GB"/>
              </w:rPr>
            </w:pPr>
            <w:r w:rsidRPr="0050796F">
              <w:rPr>
                <w:sz w:val="24"/>
                <w:szCs w:val="24"/>
                <w:lang w:val="en-GB"/>
              </w:rPr>
              <w:t xml:space="preserve">Americans and Pakistanis connect English with wealth and power because America and Pakistan were English colonies. </w:t>
            </w:r>
            <w:r w:rsidR="007A4072" w:rsidRPr="0050796F">
              <w:rPr>
                <w:sz w:val="24"/>
                <w:szCs w:val="24"/>
                <w:lang w:val="en-GB"/>
              </w:rPr>
              <w:t xml:space="preserve"> </w:t>
            </w:r>
          </w:p>
        </w:tc>
        <w:tc>
          <w:tcPr>
            <w:tcW w:w="3260" w:type="dxa"/>
            <w:vMerge/>
          </w:tcPr>
          <w:p w:rsidR="00E053AB" w:rsidRPr="002508C6" w:rsidRDefault="00E053AB" w:rsidP="00577545">
            <w:pPr>
              <w:rPr>
                <w:lang w:val="en-GB"/>
              </w:rPr>
            </w:pPr>
          </w:p>
        </w:tc>
      </w:tr>
    </w:tbl>
    <w:p w:rsidR="00AD71A0" w:rsidRPr="002508C6" w:rsidRDefault="00AD71A0">
      <w:pPr>
        <w:rPr>
          <w:lang w:val="en-GB"/>
        </w:rPr>
      </w:pPr>
    </w:p>
    <w:sectPr w:rsidR="00AD71A0" w:rsidRPr="002508C6" w:rsidSect="00AD71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0"/>
  <w:activeWritingStyle w:appName="MSWord" w:lang="en-US" w:vendorID="64" w:dllVersion="131078" w:nlCheck="1" w:checkStyle="1"/>
  <w:proofState w:spelling="clean"/>
  <w:defaultTabStop w:val="708"/>
  <w:hyphenationZone w:val="283"/>
  <w:characterSpacingControl w:val="doNotCompress"/>
  <w:compat/>
  <w:rsids>
    <w:rsidRoot w:val="00E053AB"/>
    <w:rsid w:val="000F11C5"/>
    <w:rsid w:val="001A4338"/>
    <w:rsid w:val="001F2BBC"/>
    <w:rsid w:val="002508C6"/>
    <w:rsid w:val="003638EA"/>
    <w:rsid w:val="00365E21"/>
    <w:rsid w:val="0050796F"/>
    <w:rsid w:val="006077EE"/>
    <w:rsid w:val="00631362"/>
    <w:rsid w:val="00643EC0"/>
    <w:rsid w:val="007A4072"/>
    <w:rsid w:val="009077A1"/>
    <w:rsid w:val="00A77C9D"/>
    <w:rsid w:val="00AB3EA6"/>
    <w:rsid w:val="00AD71A0"/>
    <w:rsid w:val="00BD53D7"/>
    <w:rsid w:val="00DF358C"/>
    <w:rsid w:val="00E053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53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05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3397</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2014-11-02T16:43:00Z</dcterms:created>
  <dcterms:modified xsi:type="dcterms:W3CDTF">2014-11-02T16:43:00Z</dcterms:modified>
</cp:coreProperties>
</file>