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B7" w:rsidRDefault="00C158B7" w:rsidP="001572DA">
      <w:pPr>
        <w:jc w:val="center"/>
        <w:rPr>
          <w:b/>
          <w:color w:val="C00000"/>
          <w:sz w:val="36"/>
          <w:lang w:val="en-US"/>
        </w:rPr>
      </w:pPr>
      <w:r>
        <w:rPr>
          <w:b/>
          <w:color w:val="C00000"/>
          <w:sz w:val="36"/>
          <w:lang w:val="en-US"/>
        </w:rPr>
        <w:t>THE RELUCTANT FUNDAMENTALIST</w:t>
      </w:r>
    </w:p>
    <w:p w:rsidR="00C158B7" w:rsidRDefault="00C158B7" w:rsidP="001572DA">
      <w:pPr>
        <w:jc w:val="center"/>
        <w:rPr>
          <w:b/>
          <w:i/>
          <w:color w:val="C00000"/>
          <w:sz w:val="28"/>
          <w:lang w:val="en-US"/>
        </w:rPr>
      </w:pPr>
      <w:r>
        <w:rPr>
          <w:b/>
          <w:i/>
          <w:color w:val="C00000"/>
          <w:sz w:val="28"/>
          <w:lang w:val="en-US"/>
        </w:rPr>
        <w:t>QUOTATIONS</w:t>
      </w:r>
    </w:p>
    <w:p w:rsidR="00C158B7" w:rsidRDefault="00C158B7" w:rsidP="00E85226">
      <w:pPr>
        <w:rPr>
          <w:b/>
          <w:i/>
          <w:sz w:val="28"/>
          <w:lang w:val="en-US"/>
        </w:rPr>
      </w:pPr>
      <w:r>
        <w:rPr>
          <w:b/>
          <w:i/>
          <w:sz w:val="28"/>
          <w:lang w:val="en-US"/>
        </w:rPr>
        <w:t>CHAPTER 11:</w:t>
      </w:r>
    </w:p>
    <w:tbl>
      <w:tblPr>
        <w:tblpPr w:leftFromText="141" w:rightFromText="141" w:vertAnchor="page" w:horzAnchor="margin" w:tblpY="384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9"/>
        <w:gridCol w:w="3310"/>
        <w:gridCol w:w="3311"/>
      </w:tblGrid>
      <w:tr w:rsidR="00C158B7" w:rsidRPr="008730CD" w:rsidTr="008730CD">
        <w:trPr>
          <w:trHeight w:val="494"/>
        </w:trPr>
        <w:tc>
          <w:tcPr>
            <w:tcW w:w="3309" w:type="dxa"/>
          </w:tcPr>
          <w:p w:rsidR="00C158B7" w:rsidRPr="008730CD" w:rsidRDefault="00C158B7" w:rsidP="008730CD">
            <w:pPr>
              <w:spacing w:after="0" w:line="240" w:lineRule="auto"/>
              <w:jc w:val="center"/>
              <w:rPr>
                <w:lang w:val="en-US"/>
              </w:rPr>
            </w:pPr>
            <w:r w:rsidRPr="008730CD">
              <w:rPr>
                <w:lang w:val="en-US"/>
              </w:rPr>
              <w:t>QUOTATIONS:  ORIGINAL VERSION</w:t>
            </w:r>
          </w:p>
        </w:tc>
        <w:tc>
          <w:tcPr>
            <w:tcW w:w="3310" w:type="dxa"/>
          </w:tcPr>
          <w:p w:rsidR="00C158B7" w:rsidRPr="008730CD" w:rsidRDefault="00C158B7" w:rsidP="008730CD">
            <w:pPr>
              <w:spacing w:after="0" w:line="240" w:lineRule="auto"/>
              <w:jc w:val="center"/>
              <w:rPr>
                <w:lang w:val="en-US"/>
              </w:rPr>
            </w:pPr>
            <w:r w:rsidRPr="008730CD">
              <w:rPr>
                <w:lang w:val="en-US"/>
              </w:rPr>
              <w:t>QUOTATION: ITALIAN TRANSLATION</w:t>
            </w:r>
          </w:p>
        </w:tc>
        <w:tc>
          <w:tcPr>
            <w:tcW w:w="3311" w:type="dxa"/>
          </w:tcPr>
          <w:p w:rsidR="00C158B7" w:rsidRPr="008730CD" w:rsidRDefault="00C158B7" w:rsidP="008730CD">
            <w:pPr>
              <w:spacing w:after="0" w:line="240" w:lineRule="auto"/>
              <w:jc w:val="center"/>
              <w:rPr>
                <w:lang w:val="en-US"/>
              </w:rPr>
            </w:pPr>
            <w:r w:rsidRPr="008730CD">
              <w:rPr>
                <w:lang w:val="en-US"/>
              </w:rPr>
              <w:t>COMPARATIVE ANALYSIS</w:t>
            </w:r>
          </w:p>
        </w:tc>
      </w:tr>
      <w:tr w:rsidR="00C158B7" w:rsidRPr="00BF56CA" w:rsidTr="008730CD">
        <w:trPr>
          <w:trHeight w:val="2716"/>
        </w:trPr>
        <w:tc>
          <w:tcPr>
            <w:tcW w:w="3309" w:type="dxa"/>
          </w:tcPr>
          <w:p w:rsidR="00C158B7" w:rsidRPr="008730CD" w:rsidRDefault="00C158B7" w:rsidP="008730CD">
            <w:pPr>
              <w:spacing w:after="0" w:line="240" w:lineRule="auto"/>
              <w:rPr>
                <w:i/>
                <w:sz w:val="20"/>
                <w:szCs w:val="20"/>
                <w:lang w:val="en-US"/>
              </w:rPr>
            </w:pPr>
            <w:r w:rsidRPr="008730CD">
              <w:rPr>
                <w:i/>
                <w:sz w:val="20"/>
                <w:szCs w:val="20"/>
                <w:lang w:val="en-US"/>
              </w:rPr>
              <w:t xml:space="preserve">“I resolved to look about me with an ex-janissary’s gaze-with, that is to say, the analytical eyes of a product of Princeton and Underwood Samson, but unconstrained by the academic’s and a professionals various compulsions to focus primarily on parts, and free therefore to consider also the whole of your society-upon my return to New York. Seen in this fashion I was struck by how traditional your empire appeared.”  </w:t>
            </w:r>
          </w:p>
        </w:tc>
        <w:tc>
          <w:tcPr>
            <w:tcW w:w="3310" w:type="dxa"/>
          </w:tcPr>
          <w:p w:rsidR="00C158B7" w:rsidRPr="000323B9" w:rsidRDefault="00C158B7" w:rsidP="008730CD">
            <w:pPr>
              <w:spacing w:after="0" w:line="240" w:lineRule="auto"/>
              <w:rPr>
                <w:i/>
                <w:color w:val="0F243E" w:themeColor="text2" w:themeShade="80"/>
                <w:sz w:val="20"/>
                <w:szCs w:val="20"/>
              </w:rPr>
            </w:pPr>
            <w:r w:rsidRPr="000323B9">
              <w:rPr>
                <w:i/>
                <w:color w:val="0F243E" w:themeColor="text2" w:themeShade="80"/>
                <w:sz w:val="20"/>
                <w:szCs w:val="20"/>
              </w:rPr>
              <w:t>“Decisi di guardarmi intorno con lo sguardo di un ex giannizzero, vale a dire con l’occhio analitico di un prodotto di Princeton e della Underwood Samson, ma non più soggetto alle pressioni, prima accademiche e poi professionali, a concentrarmi solo sulle singole parti, e libero quindi di considerare la società come un tutto. Osservandolo in quell’ottica fui colpito da quanto apparisse tradizionale il vostro impero.”</w:t>
            </w:r>
          </w:p>
        </w:tc>
        <w:tc>
          <w:tcPr>
            <w:tcW w:w="3311" w:type="dxa"/>
            <w:vMerge w:val="restart"/>
          </w:tcPr>
          <w:p w:rsidR="00C158B7" w:rsidRPr="00566BA2" w:rsidRDefault="00C158B7" w:rsidP="008730CD">
            <w:pPr>
              <w:spacing w:after="0" w:line="240" w:lineRule="auto"/>
              <w:rPr>
                <w:lang w:val="en-GB"/>
              </w:rPr>
            </w:pPr>
            <w:r w:rsidRPr="00566BA2">
              <w:rPr>
                <w:lang w:val="en-GB"/>
              </w:rPr>
              <w:t>The</w:t>
            </w:r>
            <w:r>
              <w:rPr>
                <w:lang w:val="en-GB"/>
              </w:rPr>
              <w:t>re is not the I</w:t>
            </w:r>
            <w:r w:rsidRPr="00566BA2">
              <w:rPr>
                <w:lang w:val="en-GB"/>
              </w:rPr>
              <w:t>talian version of “</w:t>
            </w:r>
            <w:r>
              <w:rPr>
                <w:i/>
                <w:sz w:val="20"/>
                <w:szCs w:val="20"/>
                <w:lang w:val="en-US"/>
              </w:rPr>
              <w:t xml:space="preserve">upon my return to </w:t>
            </w:r>
            <w:smartTag w:uri="urn:schemas-microsoft-com:office:smarttags" w:element="place">
              <w:smartTag w:uri="urn:schemas-microsoft-com:office:smarttags" w:element="State">
                <w:r>
                  <w:rPr>
                    <w:i/>
                    <w:sz w:val="20"/>
                    <w:szCs w:val="20"/>
                    <w:lang w:val="en-US"/>
                  </w:rPr>
                  <w:t>New York</w:t>
                </w:r>
              </w:smartTag>
            </w:smartTag>
            <w:r w:rsidRPr="00566BA2">
              <w:rPr>
                <w:lang w:val="en-GB"/>
              </w:rPr>
              <w:t>”</w:t>
            </w:r>
            <w:r>
              <w:rPr>
                <w:lang w:val="en-GB"/>
              </w:rPr>
              <w:t>. The form of the quotation change (it is not literally translate), but the message stay the same.</w:t>
            </w:r>
          </w:p>
        </w:tc>
      </w:tr>
      <w:tr w:rsidR="00C158B7" w:rsidRPr="00BF56CA"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Reason for choice:</w:t>
            </w:r>
            <w:r>
              <w:rPr>
                <w:b/>
                <w:i/>
                <w:lang w:val="en-US"/>
              </w:rPr>
              <w:t xml:space="preserve"> </w:t>
            </w:r>
            <w:r w:rsidRPr="00DB2788">
              <w:rPr>
                <w:bCs/>
                <w:iCs/>
                <w:lang w:val="en-US"/>
              </w:rPr>
              <w:t xml:space="preserve">it </w:t>
            </w:r>
            <w:r w:rsidR="000323B9" w:rsidRPr="00DB2788">
              <w:rPr>
                <w:bCs/>
                <w:iCs/>
                <w:lang w:val="en-US"/>
              </w:rPr>
              <w:t>explains</w:t>
            </w:r>
            <w:r w:rsidRPr="00DB2788">
              <w:rPr>
                <w:bCs/>
                <w:iCs/>
                <w:lang w:val="en-US"/>
              </w:rPr>
              <w:t xml:space="preserve"> the importance of an </w:t>
            </w:r>
            <w:r w:rsidRPr="000323B9">
              <w:rPr>
                <w:bCs/>
                <w:iCs/>
                <w:color w:val="C00000"/>
                <w:lang w:val="en-US"/>
              </w:rPr>
              <w:t>external point of view upon the society.</w:t>
            </w:r>
            <w:r>
              <w:rPr>
                <w:b/>
                <w:i/>
                <w:lang w:val="en-US"/>
              </w:rPr>
              <w:t xml:space="preserve"> </w:t>
            </w:r>
          </w:p>
        </w:tc>
        <w:tc>
          <w:tcPr>
            <w:tcW w:w="3311" w:type="dxa"/>
            <w:vMerge/>
          </w:tcPr>
          <w:p w:rsidR="00C158B7" w:rsidRPr="00DB2788" w:rsidRDefault="00C158B7" w:rsidP="008730CD">
            <w:pPr>
              <w:spacing w:after="0" w:line="240" w:lineRule="auto"/>
              <w:rPr>
                <w:lang w:val="en-GB"/>
              </w:rPr>
            </w:pPr>
          </w:p>
        </w:tc>
      </w:tr>
      <w:tr w:rsidR="00C158B7" w:rsidRPr="00BF56CA" w:rsidTr="008730CD">
        <w:trPr>
          <w:trHeight w:val="247"/>
        </w:trPr>
        <w:tc>
          <w:tcPr>
            <w:tcW w:w="6619" w:type="dxa"/>
            <w:gridSpan w:val="2"/>
          </w:tcPr>
          <w:p w:rsidR="00C158B7" w:rsidRPr="00566BA2" w:rsidRDefault="00C158B7" w:rsidP="008730CD">
            <w:pPr>
              <w:spacing w:after="0" w:line="240" w:lineRule="auto"/>
              <w:rPr>
                <w:iCs/>
                <w:lang w:val="en-US"/>
              </w:rPr>
            </w:pPr>
            <w:r w:rsidRPr="008730CD">
              <w:rPr>
                <w:b/>
                <w:i/>
                <w:lang w:val="en-US"/>
              </w:rPr>
              <w:t>Analysis:</w:t>
            </w:r>
            <w:r>
              <w:rPr>
                <w:b/>
                <w:i/>
                <w:lang w:val="en-US"/>
              </w:rPr>
              <w:t xml:space="preserve"> </w:t>
            </w:r>
            <w:r w:rsidRPr="00566BA2">
              <w:rPr>
                <w:bCs/>
                <w:iCs/>
                <w:lang w:val="en-US"/>
              </w:rPr>
              <w:t>the allusion to the “Janissary” suggests a connection with the Christianity, therefore suggests common aspects between the two cultures. The sentence</w:t>
            </w:r>
            <w:r w:rsidRPr="008730CD">
              <w:rPr>
                <w:i/>
                <w:sz w:val="20"/>
                <w:szCs w:val="20"/>
                <w:lang w:val="en-US"/>
              </w:rPr>
              <w:t xml:space="preserve"> </w:t>
            </w:r>
            <w:r>
              <w:rPr>
                <w:i/>
                <w:sz w:val="20"/>
                <w:szCs w:val="20"/>
                <w:lang w:val="en-US"/>
              </w:rPr>
              <w:t xml:space="preserve">“focus </w:t>
            </w:r>
            <w:r w:rsidRPr="008730CD">
              <w:rPr>
                <w:i/>
                <w:sz w:val="20"/>
                <w:szCs w:val="20"/>
                <w:lang w:val="en-US"/>
              </w:rPr>
              <w:t>primarily on parts</w:t>
            </w:r>
            <w:r>
              <w:rPr>
                <w:i/>
                <w:sz w:val="20"/>
                <w:szCs w:val="20"/>
                <w:lang w:val="en-US"/>
              </w:rPr>
              <w:t xml:space="preserve">” </w:t>
            </w:r>
            <w:r w:rsidRPr="00566BA2">
              <w:rPr>
                <w:iCs/>
                <w:lang w:val="en-US"/>
              </w:rPr>
              <w:t>is in contrast with another sentence of the novel</w:t>
            </w:r>
            <w:r>
              <w:rPr>
                <w:i/>
                <w:sz w:val="20"/>
                <w:szCs w:val="20"/>
                <w:lang w:val="en-US"/>
              </w:rPr>
              <w:t xml:space="preserve"> (“focus on the fundamentals</w:t>
            </w:r>
            <w:r w:rsidRPr="00566BA2">
              <w:rPr>
                <w:iCs/>
                <w:lang w:val="en-US"/>
              </w:rPr>
              <w:t xml:space="preserve">”): </w:t>
            </w:r>
            <w:r w:rsidR="000323B9" w:rsidRPr="00566BA2">
              <w:rPr>
                <w:iCs/>
                <w:lang w:val="en-US"/>
              </w:rPr>
              <w:t>this suggests</w:t>
            </w:r>
            <w:r w:rsidRPr="00566BA2">
              <w:rPr>
                <w:iCs/>
                <w:lang w:val="en-US"/>
              </w:rPr>
              <w:t xml:space="preserve"> that the key to see things is not the fundamentalism, but a moderate vision </w:t>
            </w:r>
            <w:r w:rsidR="000323B9" w:rsidRPr="00566BA2">
              <w:rPr>
                <w:iCs/>
                <w:lang w:val="en-US"/>
              </w:rPr>
              <w:t>upon the</w:t>
            </w:r>
            <w:r w:rsidRPr="00566BA2">
              <w:rPr>
                <w:iCs/>
                <w:lang w:val="en-US"/>
              </w:rPr>
              <w:t xml:space="preserve"> single parts. </w:t>
            </w:r>
          </w:p>
          <w:p w:rsidR="00C158B7" w:rsidRPr="00566BA2" w:rsidRDefault="00C158B7" w:rsidP="008730CD">
            <w:pPr>
              <w:spacing w:after="0" w:line="240" w:lineRule="auto"/>
              <w:rPr>
                <w:iCs/>
                <w:lang w:val="en-US"/>
              </w:rPr>
            </w:pPr>
            <w:r w:rsidRPr="00566BA2">
              <w:rPr>
                <w:iCs/>
                <w:lang w:val="en-US"/>
              </w:rPr>
              <w:t xml:space="preserve">The word </w:t>
            </w:r>
            <w:r>
              <w:rPr>
                <w:i/>
                <w:sz w:val="20"/>
                <w:szCs w:val="20"/>
                <w:lang w:val="en-US"/>
              </w:rPr>
              <w:t xml:space="preserve">“free” </w:t>
            </w:r>
            <w:r w:rsidRPr="00566BA2">
              <w:rPr>
                <w:iCs/>
                <w:lang w:val="en-US"/>
              </w:rPr>
              <w:t xml:space="preserve">suggests that the refuse of fundamentalism gives more freedom of choose. </w:t>
            </w:r>
          </w:p>
          <w:p w:rsidR="00C158B7" w:rsidRPr="008730CD" w:rsidRDefault="00C158B7" w:rsidP="008730CD">
            <w:pPr>
              <w:spacing w:after="0" w:line="240" w:lineRule="auto"/>
              <w:rPr>
                <w:lang w:val="en-US"/>
              </w:rPr>
            </w:pPr>
            <w:r w:rsidRPr="00566BA2">
              <w:rPr>
                <w:iCs/>
                <w:lang w:val="en-US"/>
              </w:rPr>
              <w:t>The sentence</w:t>
            </w:r>
            <w:r w:rsidRPr="008730CD">
              <w:rPr>
                <w:i/>
                <w:sz w:val="20"/>
                <w:szCs w:val="20"/>
                <w:lang w:val="en-US"/>
              </w:rPr>
              <w:t xml:space="preserve"> </w:t>
            </w:r>
            <w:r>
              <w:rPr>
                <w:i/>
                <w:sz w:val="20"/>
                <w:szCs w:val="20"/>
                <w:lang w:val="en-US"/>
              </w:rPr>
              <w:t>“</w:t>
            </w:r>
            <w:r w:rsidRPr="008730CD">
              <w:rPr>
                <w:i/>
                <w:sz w:val="20"/>
                <w:szCs w:val="20"/>
                <w:lang w:val="en-US"/>
              </w:rPr>
              <w:t>I was struck by how t</w:t>
            </w:r>
            <w:r>
              <w:rPr>
                <w:i/>
                <w:sz w:val="20"/>
                <w:szCs w:val="20"/>
                <w:lang w:val="en-US"/>
              </w:rPr>
              <w:t>raditional your empire appeared</w:t>
            </w:r>
            <w:r w:rsidRPr="00566BA2">
              <w:rPr>
                <w:iCs/>
                <w:lang w:val="en-US"/>
              </w:rPr>
              <w:t xml:space="preserve">” suggests an </w:t>
            </w:r>
            <w:r w:rsidR="000323B9" w:rsidRPr="00566BA2">
              <w:rPr>
                <w:iCs/>
                <w:lang w:val="en-US"/>
              </w:rPr>
              <w:t>unexpected similarity</w:t>
            </w:r>
            <w:r w:rsidRPr="00566BA2">
              <w:rPr>
                <w:iCs/>
                <w:lang w:val="en-US"/>
              </w:rPr>
              <w:t xml:space="preserve"> between Pakistani and American cultures.</w:t>
            </w:r>
            <w:r w:rsidRPr="008730CD">
              <w:rPr>
                <w:i/>
                <w:sz w:val="20"/>
                <w:szCs w:val="20"/>
                <w:lang w:val="en-US"/>
              </w:rPr>
              <w:t xml:space="preserve"> </w:t>
            </w:r>
          </w:p>
        </w:tc>
        <w:tc>
          <w:tcPr>
            <w:tcW w:w="3311" w:type="dxa"/>
            <w:vMerge/>
          </w:tcPr>
          <w:p w:rsidR="00C158B7" w:rsidRPr="00DB2788" w:rsidRDefault="00C158B7" w:rsidP="008730CD">
            <w:pPr>
              <w:spacing w:after="0" w:line="240" w:lineRule="auto"/>
              <w:rPr>
                <w:lang w:val="en-GB"/>
              </w:rPr>
            </w:pPr>
          </w:p>
        </w:tc>
      </w:tr>
      <w:tr w:rsidR="00C158B7" w:rsidRPr="00BF56CA" w:rsidTr="008730CD">
        <w:trPr>
          <w:trHeight w:val="231"/>
        </w:trPr>
        <w:tc>
          <w:tcPr>
            <w:tcW w:w="6619" w:type="dxa"/>
            <w:gridSpan w:val="2"/>
          </w:tcPr>
          <w:p w:rsidR="00C158B7" w:rsidRPr="008730CD" w:rsidRDefault="000323B9" w:rsidP="008730CD">
            <w:pPr>
              <w:spacing w:after="0" w:line="240" w:lineRule="auto"/>
              <w:rPr>
                <w:lang w:val="en-US"/>
              </w:rPr>
            </w:pPr>
            <w:r w:rsidRPr="008730CD">
              <w:rPr>
                <w:b/>
                <w:i/>
                <w:lang w:val="en-US"/>
              </w:rPr>
              <w:t>Possible conclusion:</w:t>
            </w:r>
            <w:r>
              <w:rPr>
                <w:b/>
                <w:i/>
                <w:lang w:val="en-US"/>
              </w:rPr>
              <w:t xml:space="preserve"> </w:t>
            </w:r>
            <w:r w:rsidRPr="00DB2788">
              <w:rPr>
                <w:bCs/>
                <w:iCs/>
                <w:lang w:val="en-US"/>
              </w:rPr>
              <w:t>the message of this quotation is that if you look to the societies staying between different cultures you can better understand the society.</w:t>
            </w:r>
          </w:p>
        </w:tc>
        <w:tc>
          <w:tcPr>
            <w:tcW w:w="3311" w:type="dxa"/>
            <w:vMerge/>
          </w:tcPr>
          <w:p w:rsidR="00C158B7" w:rsidRPr="00DB2788" w:rsidRDefault="00C158B7" w:rsidP="008730CD">
            <w:pPr>
              <w:spacing w:after="0" w:line="240" w:lineRule="auto"/>
              <w:rPr>
                <w:lang w:val="en-GB"/>
              </w:rPr>
            </w:pPr>
          </w:p>
        </w:tc>
      </w:tr>
      <w:tr w:rsidR="00C158B7" w:rsidRPr="00BF56CA" w:rsidTr="008730CD">
        <w:trPr>
          <w:trHeight w:val="247"/>
        </w:trPr>
        <w:tc>
          <w:tcPr>
            <w:tcW w:w="3309" w:type="dxa"/>
          </w:tcPr>
          <w:p w:rsidR="00C158B7" w:rsidRPr="008730CD" w:rsidRDefault="00C158B7" w:rsidP="008730CD">
            <w:pPr>
              <w:spacing w:after="0" w:line="240" w:lineRule="auto"/>
              <w:rPr>
                <w:lang w:val="en-US"/>
              </w:rPr>
            </w:pPr>
            <w:r w:rsidRPr="008730CD">
              <w:rPr>
                <w:lang w:val="en-US"/>
              </w:rPr>
              <w:t>“</w:t>
            </w:r>
            <w:r w:rsidRPr="008730CD">
              <w:rPr>
                <w:i/>
                <w:sz w:val="20"/>
                <w:szCs w:val="20"/>
                <w:lang w:val="en-US"/>
              </w:rPr>
              <w:t>I explained that I had just returned from the institution; had she heard from Erica? Her mother stared at me as though I had slapped her without provocation. &lt;No,&gt; she said, recovering herself and speaking wearily, &lt;I’m afraid not.&gt; &lt;Please know,&gt; I said, &lt;that I will do anything which is of assistance to you.&gt; &lt;Thank you,&gt; she said, inviting me inside.”</w:t>
            </w:r>
          </w:p>
        </w:tc>
        <w:tc>
          <w:tcPr>
            <w:tcW w:w="3310" w:type="dxa"/>
          </w:tcPr>
          <w:p w:rsidR="00C158B7" w:rsidRPr="008730CD" w:rsidRDefault="00C158B7" w:rsidP="008730CD">
            <w:pPr>
              <w:spacing w:after="0" w:line="240" w:lineRule="auto"/>
              <w:rPr>
                <w:i/>
                <w:sz w:val="20"/>
                <w:szCs w:val="20"/>
              </w:rPr>
            </w:pPr>
            <w:r w:rsidRPr="008730CD">
              <w:rPr>
                <w:i/>
                <w:sz w:val="20"/>
                <w:szCs w:val="20"/>
              </w:rPr>
              <w:t>“</w:t>
            </w:r>
            <w:r w:rsidRPr="000323B9">
              <w:rPr>
                <w:i/>
                <w:color w:val="0F243E" w:themeColor="text2" w:themeShade="80"/>
                <w:sz w:val="20"/>
                <w:szCs w:val="20"/>
              </w:rPr>
              <w:t>spiegai che ero appena tornado dalla clinica, aveva notizie di Erica? La madre mi guardò come se l’avessi schiaffeggiata senza motivo. &lt;No,-disse riscuotendosi, con una voce spossata,-temo di no&gt;. &lt; La prego, tenga presente che sono pronto a fare qualunque cosa possa esservi di aiuto&gt;. &lt;Grazie&gt;, disse, invitandomi a entrare.”</w:t>
            </w:r>
          </w:p>
        </w:tc>
        <w:tc>
          <w:tcPr>
            <w:tcW w:w="3311" w:type="dxa"/>
            <w:vMerge w:val="restart"/>
          </w:tcPr>
          <w:p w:rsidR="00C158B7" w:rsidRPr="00682B50" w:rsidRDefault="00C158B7" w:rsidP="008730CD">
            <w:pPr>
              <w:spacing w:after="0" w:line="240" w:lineRule="auto"/>
              <w:rPr>
                <w:lang w:val="en-GB"/>
              </w:rPr>
            </w:pPr>
            <w:r w:rsidRPr="00682B50">
              <w:rPr>
                <w:lang w:val="en-GB"/>
              </w:rPr>
              <w:t xml:space="preserve">The </w:t>
            </w:r>
            <w:r>
              <w:rPr>
                <w:lang w:val="en-GB"/>
              </w:rPr>
              <w:t>I</w:t>
            </w:r>
            <w:r w:rsidRPr="00682B50">
              <w:rPr>
                <w:lang w:val="en-GB"/>
              </w:rPr>
              <w:t>talian version</w:t>
            </w:r>
            <w:r>
              <w:rPr>
                <w:lang w:val="en-GB"/>
              </w:rPr>
              <w:t xml:space="preserve"> i</w:t>
            </w:r>
            <w:r w:rsidRPr="00682B50">
              <w:rPr>
                <w:lang w:val="en-GB"/>
              </w:rPr>
              <w:t xml:space="preserve">s </w:t>
            </w:r>
            <w:r>
              <w:rPr>
                <w:lang w:val="en-GB"/>
              </w:rPr>
              <w:t>mo</w:t>
            </w:r>
            <w:r w:rsidRPr="00682B50">
              <w:rPr>
                <w:lang w:val="en-GB"/>
              </w:rPr>
              <w:t>re formal, but there are not substantial differences.</w:t>
            </w:r>
          </w:p>
        </w:tc>
      </w:tr>
      <w:tr w:rsidR="00C158B7" w:rsidRPr="00BF56CA"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Reason for choice</w:t>
            </w:r>
            <w:r w:rsidRPr="00682B50">
              <w:rPr>
                <w:bCs/>
                <w:iCs/>
                <w:lang w:val="en-US"/>
              </w:rPr>
              <w:t xml:space="preserve">: it </w:t>
            </w:r>
            <w:r w:rsidR="000323B9" w:rsidRPr="00682B50">
              <w:rPr>
                <w:bCs/>
                <w:iCs/>
                <w:lang w:val="en-US"/>
              </w:rPr>
              <w:t>engages</w:t>
            </w:r>
            <w:r w:rsidRPr="00682B50">
              <w:rPr>
                <w:bCs/>
                <w:iCs/>
                <w:lang w:val="en-US"/>
              </w:rPr>
              <w:t xml:space="preserve"> the </w:t>
            </w:r>
            <w:r w:rsidRPr="000323B9">
              <w:rPr>
                <w:bCs/>
                <w:iCs/>
                <w:color w:val="C00000"/>
                <w:lang w:val="en-US"/>
              </w:rPr>
              <w:t>theme of desperation</w:t>
            </w:r>
            <w:r w:rsidRPr="00682B50">
              <w:rPr>
                <w:bCs/>
                <w:iCs/>
                <w:lang w:val="en-US"/>
              </w:rPr>
              <w:t>.</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31"/>
        </w:trPr>
        <w:tc>
          <w:tcPr>
            <w:tcW w:w="6619" w:type="dxa"/>
            <w:gridSpan w:val="2"/>
          </w:tcPr>
          <w:p w:rsidR="00C158B7" w:rsidRPr="008730CD" w:rsidRDefault="00C158B7" w:rsidP="008730CD">
            <w:pPr>
              <w:spacing w:after="0" w:line="240" w:lineRule="auto"/>
              <w:rPr>
                <w:lang w:val="en-US"/>
              </w:rPr>
            </w:pPr>
            <w:r w:rsidRPr="008730CD">
              <w:rPr>
                <w:b/>
                <w:i/>
                <w:lang w:val="en-US"/>
              </w:rPr>
              <w:t>Analysis</w:t>
            </w:r>
            <w:r w:rsidRPr="00682B50">
              <w:rPr>
                <w:bCs/>
                <w:iCs/>
                <w:lang w:val="en-US"/>
              </w:rPr>
              <w:t xml:space="preserve">: the use of questions and </w:t>
            </w:r>
            <w:r w:rsidR="000323B9" w:rsidRPr="00682B50">
              <w:rPr>
                <w:bCs/>
                <w:iCs/>
                <w:lang w:val="en-US"/>
              </w:rPr>
              <w:t>of the</w:t>
            </w:r>
            <w:r w:rsidRPr="00682B50">
              <w:rPr>
                <w:bCs/>
                <w:iCs/>
                <w:lang w:val="en-US"/>
              </w:rPr>
              <w:t xml:space="preserve"> dialogue better involve the reader. The </w:t>
            </w:r>
            <w:r w:rsidR="000323B9" w:rsidRPr="00682B50">
              <w:rPr>
                <w:bCs/>
                <w:iCs/>
                <w:lang w:val="en-US"/>
              </w:rPr>
              <w:t>metaphor of the slap describes</w:t>
            </w:r>
            <w:r w:rsidRPr="00682B50">
              <w:rPr>
                <w:bCs/>
                <w:iCs/>
                <w:lang w:val="en-US"/>
              </w:rPr>
              <w:t xml:space="preserve"> the sensation that a bad notice create</w:t>
            </w:r>
            <w:r>
              <w:rPr>
                <w:bCs/>
                <w:iCs/>
                <w:lang w:val="en-US"/>
              </w:rPr>
              <w:t>s</w:t>
            </w:r>
            <w:r w:rsidRPr="00682B50">
              <w:rPr>
                <w:bCs/>
                <w:iCs/>
                <w:lang w:val="en-US"/>
              </w:rPr>
              <w:t>.</w:t>
            </w:r>
            <w:r>
              <w:rPr>
                <w:b/>
                <w:i/>
                <w:lang w:val="en-US"/>
              </w:rPr>
              <w:t xml:space="preserve"> </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Possible conclusion</w:t>
            </w:r>
            <w:r w:rsidRPr="00682B50">
              <w:rPr>
                <w:bCs/>
                <w:iCs/>
                <w:lang w:val="en-US"/>
              </w:rPr>
              <w:t>: the reaction in front of desperation is the same for everyone.</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3309" w:type="dxa"/>
          </w:tcPr>
          <w:p w:rsidR="00C158B7" w:rsidRPr="008730CD" w:rsidRDefault="00C158B7" w:rsidP="008730CD">
            <w:pPr>
              <w:spacing w:after="0" w:line="240" w:lineRule="auto"/>
              <w:rPr>
                <w:i/>
                <w:sz w:val="20"/>
                <w:szCs w:val="20"/>
                <w:lang w:val="en-US"/>
              </w:rPr>
            </w:pPr>
            <w:r w:rsidRPr="008730CD">
              <w:rPr>
                <w:i/>
                <w:sz w:val="20"/>
                <w:szCs w:val="20"/>
                <w:lang w:val="en-US"/>
              </w:rPr>
              <w:lastRenderedPageBreak/>
              <w:t xml:space="preserve">“A few of these places […] I proved unable to find; they had vanished as though they had never existed. Others, like the spot in </w:t>
            </w:r>
            <w:smartTag w:uri="urn:schemas-microsoft-com:office:smarttags" w:element="place">
              <w:r w:rsidRPr="008730CD">
                <w:rPr>
                  <w:i/>
                  <w:sz w:val="20"/>
                  <w:szCs w:val="20"/>
                  <w:lang w:val="en-US"/>
                </w:rPr>
                <w:t>Central Park</w:t>
              </w:r>
            </w:smartTag>
            <w:r w:rsidRPr="008730CD">
              <w:rPr>
                <w:i/>
                <w:sz w:val="20"/>
                <w:szCs w:val="20"/>
                <w:lang w:val="en-US"/>
              </w:rPr>
              <w:t xml:space="preserve"> where we had gone on our picnic, were easy to locate but seemed to have altered. Perhaps this was the effect of a change in season; perhaps also it was in the city’s nature to be inconstant.”</w:t>
            </w:r>
          </w:p>
        </w:tc>
        <w:tc>
          <w:tcPr>
            <w:tcW w:w="3310" w:type="dxa"/>
          </w:tcPr>
          <w:p w:rsidR="00C158B7" w:rsidRPr="000323B9" w:rsidRDefault="00C158B7" w:rsidP="008730CD">
            <w:pPr>
              <w:spacing w:after="0" w:line="240" w:lineRule="auto"/>
              <w:rPr>
                <w:i/>
                <w:color w:val="0F243E" w:themeColor="text2" w:themeShade="80"/>
                <w:sz w:val="20"/>
                <w:szCs w:val="20"/>
              </w:rPr>
            </w:pPr>
            <w:r w:rsidRPr="000323B9">
              <w:rPr>
                <w:i/>
                <w:color w:val="0F243E" w:themeColor="text2" w:themeShade="80"/>
                <w:sz w:val="20"/>
                <w:szCs w:val="20"/>
              </w:rPr>
              <w:t>“Alcuni di quei posti […] non riuscii a trovarli; erano scomparsi come se non fossero mai esistiti. Altri, come il punto di Central Park dove avevamo fatto il nostro picnic, li trovai subito ma mi parvero cambiati. Forse era l’effetto del mutamento di stagione; forse l’incostanza faceva parte della natura della città.”</w:t>
            </w:r>
          </w:p>
        </w:tc>
        <w:tc>
          <w:tcPr>
            <w:tcW w:w="3311" w:type="dxa"/>
            <w:vMerge w:val="restart"/>
          </w:tcPr>
          <w:p w:rsidR="00C158B7" w:rsidRPr="00EB5853" w:rsidRDefault="00BF56CA" w:rsidP="008730CD">
            <w:pPr>
              <w:spacing w:after="0" w:line="240" w:lineRule="auto"/>
              <w:rPr>
                <w:lang w:val="en-GB"/>
              </w:rPr>
            </w:pPr>
            <w:r>
              <w:rPr>
                <w:lang w:val="en-GB"/>
              </w:rPr>
              <w:t>The translation is not literal but the effect is the same.</w:t>
            </w:r>
          </w:p>
        </w:tc>
      </w:tr>
      <w:tr w:rsidR="00C158B7" w:rsidRPr="00BF56CA" w:rsidTr="008730CD">
        <w:trPr>
          <w:trHeight w:val="231"/>
        </w:trPr>
        <w:tc>
          <w:tcPr>
            <w:tcW w:w="6619" w:type="dxa"/>
            <w:gridSpan w:val="2"/>
          </w:tcPr>
          <w:p w:rsidR="00C158B7" w:rsidRPr="008730CD" w:rsidRDefault="00C158B7" w:rsidP="008730CD">
            <w:pPr>
              <w:spacing w:after="0" w:line="240" w:lineRule="auto"/>
              <w:rPr>
                <w:lang w:val="en-US"/>
              </w:rPr>
            </w:pPr>
            <w:r w:rsidRPr="008730CD">
              <w:rPr>
                <w:b/>
                <w:i/>
                <w:lang w:val="en-US"/>
              </w:rPr>
              <w:t>Reason for choice</w:t>
            </w:r>
            <w:r w:rsidRPr="00EB5853">
              <w:rPr>
                <w:bCs/>
                <w:iCs/>
                <w:lang w:val="en-US"/>
              </w:rPr>
              <w:t xml:space="preserve">: it explain the inconstant nature of </w:t>
            </w:r>
            <w:smartTag w:uri="urn:schemas-microsoft-com:office:smarttags" w:element="State">
              <w:smartTag w:uri="urn:schemas-microsoft-com:office:smarttags" w:element="place">
                <w:r w:rsidRPr="00EB5853">
                  <w:rPr>
                    <w:bCs/>
                    <w:iCs/>
                    <w:lang w:val="en-US"/>
                  </w:rPr>
                  <w:t>New York</w:t>
                </w:r>
              </w:smartTag>
            </w:smartTag>
            <w:r w:rsidRPr="00EB5853">
              <w:rPr>
                <w:bCs/>
                <w:iCs/>
                <w:lang w:val="en-US"/>
              </w:rPr>
              <w:t xml:space="preserve">: the main theme is </w:t>
            </w:r>
            <w:r w:rsidRPr="000323B9">
              <w:rPr>
                <w:bCs/>
                <w:iCs/>
                <w:color w:val="C00000"/>
                <w:lang w:val="en-US"/>
              </w:rPr>
              <w:t>the change</w:t>
            </w:r>
            <w:r w:rsidRPr="00EB5853">
              <w:rPr>
                <w:bCs/>
                <w:iCs/>
                <w:lang w:val="en-US"/>
              </w:rPr>
              <w:t>.</w:t>
            </w:r>
          </w:p>
        </w:tc>
        <w:tc>
          <w:tcPr>
            <w:tcW w:w="3311" w:type="dxa"/>
            <w:vMerge/>
          </w:tcPr>
          <w:p w:rsidR="00C158B7" w:rsidRPr="008730CD" w:rsidRDefault="00C158B7" w:rsidP="008730CD">
            <w:pPr>
              <w:spacing w:after="0" w:line="240" w:lineRule="auto"/>
              <w:rPr>
                <w:lang w:val="en-US"/>
              </w:rPr>
            </w:pPr>
          </w:p>
        </w:tc>
      </w:tr>
      <w:tr w:rsidR="00C158B7" w:rsidRPr="0066141D"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Analysis:</w:t>
            </w:r>
            <w:r>
              <w:rPr>
                <w:b/>
                <w:i/>
                <w:lang w:val="en-US"/>
              </w:rPr>
              <w:t xml:space="preserve"> </w:t>
            </w:r>
            <w:r w:rsidRPr="0066141D">
              <w:rPr>
                <w:bCs/>
                <w:iCs/>
                <w:lang w:val="en-US"/>
              </w:rPr>
              <w:t xml:space="preserve">there is a tone of drama in the sentence. There are many </w:t>
            </w:r>
            <w:r w:rsidR="000323B9" w:rsidRPr="0066141D">
              <w:rPr>
                <w:bCs/>
                <w:iCs/>
                <w:lang w:val="en-US"/>
              </w:rPr>
              <w:t>words</w:t>
            </w:r>
            <w:r w:rsidRPr="0066141D">
              <w:rPr>
                <w:bCs/>
                <w:iCs/>
                <w:lang w:val="en-US"/>
              </w:rPr>
              <w:t xml:space="preserve"> from the semantic sphere of change </w:t>
            </w:r>
            <w:r w:rsidRPr="0066141D">
              <w:rPr>
                <w:bCs/>
                <w:i/>
                <w:sz w:val="20"/>
                <w:szCs w:val="20"/>
                <w:lang w:val="en-US"/>
              </w:rPr>
              <w:t>(“vanished”, “altered”, “change”</w:t>
            </w:r>
            <w:r>
              <w:rPr>
                <w:bCs/>
                <w:i/>
                <w:lang w:val="en-US"/>
              </w:rPr>
              <w:t xml:space="preserve"> </w:t>
            </w:r>
            <w:r w:rsidRPr="0066141D">
              <w:rPr>
                <w:bCs/>
                <w:iCs/>
                <w:lang w:val="en-US"/>
              </w:rPr>
              <w:t>and</w:t>
            </w:r>
            <w:r>
              <w:rPr>
                <w:bCs/>
                <w:i/>
                <w:lang w:val="en-US"/>
              </w:rPr>
              <w:t xml:space="preserve"> </w:t>
            </w:r>
            <w:r w:rsidRPr="0066141D">
              <w:rPr>
                <w:bCs/>
                <w:i/>
                <w:sz w:val="20"/>
                <w:szCs w:val="20"/>
                <w:lang w:val="en-US"/>
              </w:rPr>
              <w:t>“inconstant</w:t>
            </w:r>
            <w:r w:rsidRPr="0066141D">
              <w:rPr>
                <w:bCs/>
                <w:i/>
                <w:lang w:val="en-US"/>
              </w:rPr>
              <w:t>”</w:t>
            </w:r>
            <w:r w:rsidRPr="0066141D">
              <w:rPr>
                <w:bCs/>
                <w:iCs/>
                <w:lang w:val="en-US"/>
              </w:rPr>
              <w:t>). This underline that the inconstancy is the main theme.</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31"/>
        </w:trPr>
        <w:tc>
          <w:tcPr>
            <w:tcW w:w="6619" w:type="dxa"/>
            <w:gridSpan w:val="2"/>
          </w:tcPr>
          <w:p w:rsidR="00C158B7" w:rsidRPr="008730CD" w:rsidRDefault="00C158B7" w:rsidP="008730CD">
            <w:pPr>
              <w:spacing w:after="0" w:line="240" w:lineRule="auto"/>
              <w:rPr>
                <w:lang w:val="en-US"/>
              </w:rPr>
            </w:pPr>
            <w:r w:rsidRPr="008730CD">
              <w:rPr>
                <w:b/>
                <w:i/>
                <w:lang w:val="en-US"/>
              </w:rPr>
              <w:t>Possible conclusion:</w:t>
            </w:r>
            <w:r>
              <w:rPr>
                <w:b/>
                <w:i/>
                <w:lang w:val="en-US"/>
              </w:rPr>
              <w:t xml:space="preserve"> </w:t>
            </w:r>
            <w:r w:rsidRPr="00EB5853">
              <w:rPr>
                <w:bCs/>
                <w:iCs/>
                <w:lang w:val="en-US"/>
              </w:rPr>
              <w:t xml:space="preserve">everything changes: </w:t>
            </w:r>
            <w:smartTag w:uri="urn:schemas-microsoft-com:office:smarttags" w:element="State">
              <w:smartTag w:uri="urn:schemas-microsoft-com:office:smarttags" w:element="place">
                <w:r w:rsidRPr="00EB5853">
                  <w:rPr>
                    <w:bCs/>
                    <w:iCs/>
                    <w:lang w:val="en-US"/>
                  </w:rPr>
                  <w:t>New York</w:t>
                </w:r>
              </w:smartTag>
            </w:smartTag>
            <w:r w:rsidRPr="00EB5853">
              <w:rPr>
                <w:bCs/>
                <w:iCs/>
                <w:lang w:val="en-US"/>
              </w:rPr>
              <w:t xml:space="preserve"> is changed like the protagonist’s soul.</w:t>
            </w:r>
            <w:r>
              <w:rPr>
                <w:b/>
                <w:i/>
                <w:lang w:val="en-US"/>
              </w:rPr>
              <w:t xml:space="preserve"> </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3309" w:type="dxa"/>
          </w:tcPr>
          <w:p w:rsidR="00C158B7" w:rsidRPr="008730CD" w:rsidRDefault="00C158B7" w:rsidP="008730CD">
            <w:pPr>
              <w:spacing w:after="0" w:line="240" w:lineRule="auto"/>
              <w:rPr>
                <w:i/>
                <w:sz w:val="20"/>
                <w:szCs w:val="20"/>
                <w:lang w:val="en-US"/>
              </w:rPr>
            </w:pPr>
            <w:r w:rsidRPr="008730CD">
              <w:rPr>
                <w:i/>
                <w:sz w:val="20"/>
                <w:szCs w:val="20"/>
                <w:lang w:val="en-US"/>
              </w:rPr>
              <w:t xml:space="preserve">“One evening I was walking with Erica through </w:t>
            </w:r>
            <w:smartTag w:uri="urn:schemas-microsoft-com:office:smarttags" w:element="address">
              <w:smartTag w:uri="urn:schemas-microsoft-com:office:smarttags" w:element="Street">
                <w:r w:rsidRPr="008730CD">
                  <w:rPr>
                    <w:i/>
                    <w:sz w:val="20"/>
                    <w:szCs w:val="20"/>
                    <w:lang w:val="en-US"/>
                  </w:rPr>
                  <w:t>Union Square</w:t>
                </w:r>
              </w:smartTag>
            </w:smartTag>
            <w:r w:rsidRPr="008730CD">
              <w:rPr>
                <w:i/>
                <w:sz w:val="20"/>
                <w:szCs w:val="20"/>
                <w:lang w:val="en-US"/>
              </w:rPr>
              <w:t xml:space="preserve"> and we saw a firefly.  &lt;Look!&gt; she said, amazed. &lt;It’s trying to compete with the buildings.&gt; ”</w:t>
            </w:r>
          </w:p>
        </w:tc>
        <w:tc>
          <w:tcPr>
            <w:tcW w:w="3310" w:type="dxa"/>
          </w:tcPr>
          <w:p w:rsidR="00C158B7" w:rsidRPr="008730CD" w:rsidRDefault="00C158B7" w:rsidP="008730CD">
            <w:pPr>
              <w:spacing w:after="0" w:line="240" w:lineRule="auto"/>
              <w:rPr>
                <w:i/>
                <w:sz w:val="20"/>
                <w:szCs w:val="20"/>
              </w:rPr>
            </w:pPr>
            <w:r w:rsidRPr="008730CD">
              <w:rPr>
                <w:i/>
                <w:sz w:val="20"/>
                <w:szCs w:val="20"/>
              </w:rPr>
              <w:t>“</w:t>
            </w:r>
            <w:r w:rsidRPr="000323B9">
              <w:rPr>
                <w:i/>
                <w:color w:val="0F243E" w:themeColor="text2" w:themeShade="80"/>
                <w:sz w:val="20"/>
                <w:szCs w:val="20"/>
              </w:rPr>
              <w:t>Una sera attraversando Union Square con Erica avevamo visto una lucciola. &lt;Guarda!- aveva detto lei stupita.- pretende di fare concorrenza a questi palazzo&gt;.”</w:t>
            </w:r>
          </w:p>
        </w:tc>
        <w:tc>
          <w:tcPr>
            <w:tcW w:w="3311" w:type="dxa"/>
            <w:vMerge w:val="restart"/>
          </w:tcPr>
          <w:p w:rsidR="00C158B7" w:rsidRPr="00CA36FA" w:rsidRDefault="00BF56CA" w:rsidP="008730CD">
            <w:pPr>
              <w:spacing w:after="0" w:line="240" w:lineRule="auto"/>
              <w:rPr>
                <w:lang w:val="en-GB"/>
              </w:rPr>
            </w:pPr>
            <w:r>
              <w:rPr>
                <w:lang w:val="en-GB"/>
              </w:rPr>
              <w:t>The word “amazed” in the English version means not just “</w:t>
            </w:r>
            <w:proofErr w:type="spellStart"/>
            <w:r>
              <w:rPr>
                <w:lang w:val="en-GB"/>
              </w:rPr>
              <w:t>stupita</w:t>
            </w:r>
            <w:proofErr w:type="spellEnd"/>
            <w:r>
              <w:rPr>
                <w:lang w:val="en-GB"/>
              </w:rPr>
              <w:t xml:space="preserve">”; it is a more positive adjective; therefore gives the reader the idea of something admirable. </w:t>
            </w:r>
          </w:p>
        </w:tc>
      </w:tr>
      <w:tr w:rsidR="00C158B7" w:rsidRPr="00BF56CA"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Reason for choice</w:t>
            </w:r>
            <w:r w:rsidRPr="00CA36FA">
              <w:rPr>
                <w:bCs/>
                <w:iCs/>
                <w:lang w:val="en-US"/>
              </w:rPr>
              <w:t xml:space="preserve">: it is a metaphor: Changez is </w:t>
            </w:r>
            <w:r w:rsidR="000323B9" w:rsidRPr="00CA36FA">
              <w:rPr>
                <w:bCs/>
                <w:iCs/>
                <w:lang w:val="en-US"/>
              </w:rPr>
              <w:t xml:space="preserve">an insignificant firefly who </w:t>
            </w:r>
            <w:r w:rsidR="000323B9" w:rsidRPr="000323B9">
              <w:rPr>
                <w:bCs/>
                <w:iCs/>
                <w:color w:val="C00000"/>
                <w:lang w:val="en-US"/>
              </w:rPr>
              <w:t>tries</w:t>
            </w:r>
            <w:r w:rsidRPr="000323B9">
              <w:rPr>
                <w:bCs/>
                <w:iCs/>
                <w:color w:val="C00000"/>
                <w:lang w:val="en-US"/>
              </w:rPr>
              <w:t xml:space="preserve"> to compete with American model of society</w:t>
            </w:r>
            <w:r w:rsidRPr="00CA36FA">
              <w:rPr>
                <w:bCs/>
                <w:iCs/>
                <w:lang w:val="en-US"/>
              </w:rPr>
              <w:t>.</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31"/>
        </w:trPr>
        <w:tc>
          <w:tcPr>
            <w:tcW w:w="6619" w:type="dxa"/>
            <w:gridSpan w:val="2"/>
          </w:tcPr>
          <w:p w:rsidR="00C158B7" w:rsidRPr="00CA36FA" w:rsidRDefault="00C158B7" w:rsidP="008730CD">
            <w:pPr>
              <w:spacing w:after="0" w:line="240" w:lineRule="auto"/>
              <w:rPr>
                <w:bCs/>
                <w:iCs/>
                <w:lang w:val="en-US"/>
              </w:rPr>
            </w:pPr>
            <w:r w:rsidRPr="008730CD">
              <w:rPr>
                <w:b/>
                <w:i/>
                <w:lang w:val="en-US"/>
              </w:rPr>
              <w:t>Analysis:</w:t>
            </w:r>
            <w:r>
              <w:rPr>
                <w:bCs/>
                <w:iCs/>
                <w:lang w:val="en-US"/>
              </w:rPr>
              <w:t xml:space="preserve"> the firefly is a metaphor that explains Changez’s new aspiration. The </w:t>
            </w:r>
            <w:r w:rsidR="000323B9">
              <w:rPr>
                <w:bCs/>
                <w:iCs/>
                <w:lang w:val="en-US"/>
              </w:rPr>
              <w:t>fact that Erica was amazed reinforces</w:t>
            </w:r>
            <w:r>
              <w:rPr>
                <w:bCs/>
                <w:iCs/>
                <w:lang w:val="en-US"/>
              </w:rPr>
              <w:t xml:space="preserve"> the protagonist’s determination.  </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6619" w:type="dxa"/>
            <w:gridSpan w:val="2"/>
          </w:tcPr>
          <w:p w:rsidR="00C158B7" w:rsidRPr="00BD66A3" w:rsidRDefault="00C158B7" w:rsidP="008730CD">
            <w:pPr>
              <w:spacing w:after="0" w:line="240" w:lineRule="auto"/>
              <w:rPr>
                <w:bCs/>
                <w:iCs/>
                <w:lang w:val="en-US"/>
              </w:rPr>
            </w:pPr>
            <w:r w:rsidRPr="008730CD">
              <w:rPr>
                <w:b/>
                <w:i/>
                <w:lang w:val="en-US"/>
              </w:rPr>
              <w:t>Possible conclusion:</w:t>
            </w:r>
            <w:r>
              <w:rPr>
                <w:b/>
                <w:i/>
                <w:lang w:val="en-US"/>
              </w:rPr>
              <w:t xml:space="preserve"> </w:t>
            </w:r>
            <w:r>
              <w:rPr>
                <w:bCs/>
                <w:iCs/>
                <w:lang w:val="en-US"/>
              </w:rPr>
              <w:t>Changez discovers that he wants to compete with economical fundamentalism.</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3309" w:type="dxa"/>
          </w:tcPr>
          <w:p w:rsidR="00C158B7" w:rsidRPr="008730CD" w:rsidRDefault="00C158B7" w:rsidP="008730CD">
            <w:pPr>
              <w:spacing w:after="0" w:line="240" w:lineRule="auto"/>
              <w:rPr>
                <w:i/>
                <w:sz w:val="20"/>
                <w:szCs w:val="20"/>
                <w:lang w:val="en-US"/>
              </w:rPr>
            </w:pPr>
            <w:r w:rsidRPr="008730CD">
              <w:rPr>
                <w:i/>
                <w:sz w:val="20"/>
                <w:szCs w:val="20"/>
                <w:lang w:val="en-US"/>
              </w:rPr>
              <w:t xml:space="preserve">“And so I left my jacket on the curb as a sort of offering, as my last gesture before returning to </w:t>
            </w:r>
            <w:smartTag w:uri="urn:schemas-microsoft-com:office:smarttags" w:element="country-region">
              <w:smartTag w:uri="urn:schemas-microsoft-com:office:smarttags" w:element="place">
                <w:r w:rsidRPr="008730CD">
                  <w:rPr>
                    <w:i/>
                    <w:sz w:val="20"/>
                    <w:szCs w:val="20"/>
                    <w:lang w:val="en-US"/>
                  </w:rPr>
                  <w:t>Pakistan</w:t>
                </w:r>
              </w:smartTag>
            </w:smartTag>
            <w:r w:rsidRPr="008730CD">
              <w:rPr>
                <w:i/>
                <w:sz w:val="20"/>
                <w:szCs w:val="20"/>
                <w:lang w:val="en-US"/>
              </w:rPr>
              <w:t>, a wish of warmth for Erica-not in the way one leaves flowers for the dead, but rather as one twirls rupees above the living.”</w:t>
            </w:r>
          </w:p>
        </w:tc>
        <w:tc>
          <w:tcPr>
            <w:tcW w:w="3310" w:type="dxa"/>
          </w:tcPr>
          <w:p w:rsidR="00C158B7" w:rsidRPr="008730CD" w:rsidRDefault="00C158B7" w:rsidP="008730CD">
            <w:pPr>
              <w:spacing w:after="0" w:line="240" w:lineRule="auto"/>
              <w:rPr>
                <w:i/>
                <w:sz w:val="20"/>
                <w:szCs w:val="20"/>
              </w:rPr>
            </w:pPr>
            <w:r w:rsidRPr="008730CD">
              <w:rPr>
                <w:i/>
                <w:sz w:val="20"/>
                <w:szCs w:val="20"/>
              </w:rPr>
              <w:t>“</w:t>
            </w:r>
            <w:r w:rsidRPr="000323B9">
              <w:rPr>
                <w:i/>
                <w:color w:val="0F243E" w:themeColor="text2" w:themeShade="80"/>
                <w:sz w:val="20"/>
                <w:szCs w:val="20"/>
              </w:rPr>
              <w:t>Così lasciai la mia giacca sul marciapiede come una sorta di offerta, come ultimo gesto prima di tornare in Pakistan, un augurio di calore per Erica, non come si lasciano dei fiori per I morti ma piuttosto come si agitano le rupie sopra i vivi.”</w:t>
            </w:r>
          </w:p>
        </w:tc>
        <w:tc>
          <w:tcPr>
            <w:tcW w:w="3311" w:type="dxa"/>
            <w:vMerge w:val="restart"/>
          </w:tcPr>
          <w:p w:rsidR="00C158B7" w:rsidRDefault="00C158B7" w:rsidP="008730CD">
            <w:pPr>
              <w:spacing w:after="0" w:line="240" w:lineRule="auto"/>
              <w:rPr>
                <w:lang w:val="en-GB"/>
              </w:rPr>
            </w:pPr>
            <w:r w:rsidRPr="009453CC">
              <w:rPr>
                <w:lang w:val="en-GB"/>
              </w:rPr>
              <w:t>The Italian version</w:t>
            </w:r>
            <w:r>
              <w:rPr>
                <w:lang w:val="en-GB"/>
              </w:rPr>
              <w:t xml:space="preserve"> i</w:t>
            </w:r>
            <w:r w:rsidRPr="009453CC">
              <w:rPr>
                <w:lang w:val="en-GB"/>
              </w:rPr>
              <w:t xml:space="preserve">s </w:t>
            </w:r>
            <w:r>
              <w:rPr>
                <w:lang w:val="en-GB"/>
              </w:rPr>
              <w:t>less evocative, because it is more descriptive.</w:t>
            </w:r>
          </w:p>
          <w:p w:rsidR="00C158B7" w:rsidRPr="009453CC" w:rsidRDefault="00C158B7" w:rsidP="008730CD">
            <w:pPr>
              <w:spacing w:after="0" w:line="240" w:lineRule="auto"/>
              <w:rPr>
                <w:lang w:val="en-GB"/>
              </w:rPr>
            </w:pPr>
            <w:r>
              <w:rPr>
                <w:lang w:val="en-GB"/>
              </w:rPr>
              <w:t xml:space="preserve"> </w:t>
            </w:r>
            <w:r w:rsidRPr="009453CC">
              <w:rPr>
                <w:lang w:val="en-GB"/>
              </w:rPr>
              <w:t xml:space="preserve"> </w:t>
            </w:r>
          </w:p>
        </w:tc>
      </w:tr>
      <w:tr w:rsidR="00C158B7" w:rsidRPr="00BF56CA" w:rsidTr="008730CD">
        <w:trPr>
          <w:trHeight w:val="231"/>
        </w:trPr>
        <w:tc>
          <w:tcPr>
            <w:tcW w:w="6619" w:type="dxa"/>
            <w:gridSpan w:val="2"/>
          </w:tcPr>
          <w:p w:rsidR="00C158B7" w:rsidRPr="008730CD" w:rsidRDefault="000323B9" w:rsidP="008730CD">
            <w:pPr>
              <w:spacing w:after="0" w:line="240" w:lineRule="auto"/>
              <w:rPr>
                <w:lang w:val="en-US"/>
              </w:rPr>
            </w:pPr>
            <w:r w:rsidRPr="008730CD">
              <w:rPr>
                <w:b/>
                <w:i/>
                <w:lang w:val="en-US"/>
              </w:rPr>
              <w:t>Reason for choice:</w:t>
            </w:r>
            <w:r>
              <w:rPr>
                <w:b/>
                <w:i/>
                <w:lang w:val="en-US"/>
              </w:rPr>
              <w:t xml:space="preserve"> </w:t>
            </w:r>
            <w:r>
              <w:rPr>
                <w:bCs/>
                <w:iCs/>
                <w:lang w:val="en-US"/>
              </w:rPr>
              <w:t>the main theme is</w:t>
            </w:r>
            <w:r w:rsidRPr="00BD66A3">
              <w:rPr>
                <w:bCs/>
                <w:iCs/>
                <w:lang w:val="en-US"/>
              </w:rPr>
              <w:t xml:space="preserve"> </w:t>
            </w:r>
            <w:r>
              <w:rPr>
                <w:bCs/>
                <w:iCs/>
                <w:lang w:val="en-US"/>
              </w:rPr>
              <w:t xml:space="preserve">the </w:t>
            </w:r>
            <w:r w:rsidRPr="000323B9">
              <w:rPr>
                <w:bCs/>
                <w:iCs/>
                <w:color w:val="C00000"/>
                <w:lang w:val="en-US"/>
              </w:rPr>
              <w:t>comparison between the different rituality in the two cultures.</w:t>
            </w:r>
            <w:r>
              <w:rPr>
                <w:b/>
                <w:i/>
                <w:lang w:val="en-US"/>
              </w:rPr>
              <w:t xml:space="preserve"> </w:t>
            </w:r>
          </w:p>
        </w:tc>
        <w:tc>
          <w:tcPr>
            <w:tcW w:w="3311" w:type="dxa"/>
            <w:vMerge/>
          </w:tcPr>
          <w:p w:rsidR="00C158B7" w:rsidRPr="008730CD" w:rsidRDefault="00C158B7" w:rsidP="008730CD">
            <w:pPr>
              <w:spacing w:after="0" w:line="240" w:lineRule="auto"/>
              <w:rPr>
                <w:lang w:val="en-US"/>
              </w:rPr>
            </w:pPr>
          </w:p>
        </w:tc>
      </w:tr>
      <w:tr w:rsidR="00C158B7" w:rsidRPr="00BD66A3"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Analysis:</w:t>
            </w:r>
            <w:r>
              <w:rPr>
                <w:b/>
                <w:i/>
                <w:lang w:val="en-US"/>
              </w:rPr>
              <w:t xml:space="preserve"> </w:t>
            </w:r>
            <w:r w:rsidRPr="009453CC">
              <w:rPr>
                <w:bCs/>
                <w:iCs/>
                <w:lang w:val="en-US"/>
              </w:rPr>
              <w:t xml:space="preserve">there are many words or </w:t>
            </w:r>
            <w:r w:rsidR="000323B9" w:rsidRPr="009453CC">
              <w:rPr>
                <w:bCs/>
                <w:iCs/>
                <w:lang w:val="en-US"/>
              </w:rPr>
              <w:t>expressions of</w:t>
            </w:r>
            <w:r w:rsidRPr="009453CC">
              <w:rPr>
                <w:bCs/>
                <w:iCs/>
                <w:lang w:val="en-US"/>
              </w:rPr>
              <w:t xml:space="preserve"> religious code (“</w:t>
            </w:r>
            <w:r w:rsidRPr="009453CC">
              <w:rPr>
                <w:bCs/>
                <w:i/>
                <w:sz w:val="20"/>
                <w:szCs w:val="20"/>
                <w:lang w:val="en-US"/>
              </w:rPr>
              <w:t>offering”, “last gesture”, “flowers for the dead”).</w:t>
            </w:r>
            <w:r w:rsidRPr="009453CC">
              <w:rPr>
                <w:bCs/>
                <w:iCs/>
                <w:lang w:val="en-US"/>
              </w:rPr>
              <w:t xml:space="preserve"> The alliteration of letter “w” suggests a nostalgic feeling.</w:t>
            </w:r>
            <w:r>
              <w:rPr>
                <w:b/>
                <w:i/>
                <w:lang w:val="en-US"/>
              </w:rPr>
              <w:t xml:space="preserve"> </w:t>
            </w:r>
          </w:p>
        </w:tc>
        <w:tc>
          <w:tcPr>
            <w:tcW w:w="3311" w:type="dxa"/>
            <w:vMerge/>
          </w:tcPr>
          <w:p w:rsidR="00C158B7" w:rsidRPr="008730CD" w:rsidRDefault="00C158B7" w:rsidP="008730CD">
            <w:pPr>
              <w:spacing w:after="0" w:line="240" w:lineRule="auto"/>
              <w:rPr>
                <w:lang w:val="en-US"/>
              </w:rPr>
            </w:pPr>
          </w:p>
        </w:tc>
      </w:tr>
      <w:tr w:rsidR="00C158B7" w:rsidRPr="00BF56CA" w:rsidTr="008730CD">
        <w:trPr>
          <w:trHeight w:val="247"/>
        </w:trPr>
        <w:tc>
          <w:tcPr>
            <w:tcW w:w="6619" w:type="dxa"/>
            <w:gridSpan w:val="2"/>
          </w:tcPr>
          <w:p w:rsidR="00C158B7" w:rsidRPr="008730CD" w:rsidRDefault="00C158B7" w:rsidP="008730CD">
            <w:pPr>
              <w:spacing w:after="0" w:line="240" w:lineRule="auto"/>
              <w:rPr>
                <w:lang w:val="en-US"/>
              </w:rPr>
            </w:pPr>
            <w:r w:rsidRPr="008730CD">
              <w:rPr>
                <w:b/>
                <w:i/>
                <w:lang w:val="en-US"/>
              </w:rPr>
              <w:t>Possible conclusion:</w:t>
            </w:r>
            <w:r>
              <w:rPr>
                <w:b/>
                <w:i/>
                <w:lang w:val="en-US"/>
              </w:rPr>
              <w:t xml:space="preserve"> </w:t>
            </w:r>
            <w:r w:rsidRPr="009453CC">
              <w:rPr>
                <w:bCs/>
                <w:iCs/>
                <w:lang w:val="en-US"/>
              </w:rPr>
              <w:t xml:space="preserve">the two possible reasons of his gesture </w:t>
            </w:r>
            <w:r w:rsidR="000323B9" w:rsidRPr="009453CC">
              <w:rPr>
                <w:bCs/>
                <w:iCs/>
                <w:lang w:val="en-US"/>
              </w:rPr>
              <w:t>represent</w:t>
            </w:r>
            <w:r w:rsidRPr="009453CC">
              <w:rPr>
                <w:bCs/>
                <w:iCs/>
                <w:lang w:val="en-US"/>
              </w:rPr>
              <w:t xml:space="preserve"> two rites of the two cultures: a Christianity funeral and an Islamic benediction.</w:t>
            </w:r>
            <w:r>
              <w:rPr>
                <w:b/>
                <w:i/>
                <w:lang w:val="en-US"/>
              </w:rPr>
              <w:t xml:space="preserve"> </w:t>
            </w:r>
          </w:p>
        </w:tc>
        <w:tc>
          <w:tcPr>
            <w:tcW w:w="3311" w:type="dxa"/>
            <w:vMerge/>
          </w:tcPr>
          <w:p w:rsidR="00C158B7" w:rsidRPr="008730CD" w:rsidRDefault="00C158B7" w:rsidP="008730CD">
            <w:pPr>
              <w:spacing w:after="0" w:line="240" w:lineRule="auto"/>
              <w:rPr>
                <w:lang w:val="en-US"/>
              </w:rPr>
            </w:pPr>
          </w:p>
        </w:tc>
      </w:tr>
    </w:tbl>
    <w:p w:rsidR="00C158B7" w:rsidRPr="00123DB1" w:rsidRDefault="00C158B7" w:rsidP="001572DA">
      <w:pPr>
        <w:rPr>
          <w:b/>
          <w:i/>
          <w:sz w:val="28"/>
          <w:lang w:val="en-US"/>
        </w:rPr>
      </w:pPr>
    </w:p>
    <w:p w:rsidR="00C158B7" w:rsidRDefault="00C158B7" w:rsidP="001572DA">
      <w:pPr>
        <w:rPr>
          <w:lang w:val="en-US"/>
        </w:rPr>
      </w:pPr>
    </w:p>
    <w:p w:rsidR="00C158B7" w:rsidRDefault="00C158B7" w:rsidP="001572DA">
      <w:pPr>
        <w:rPr>
          <w:lang w:val="en-US"/>
        </w:rPr>
      </w:pPr>
    </w:p>
    <w:p w:rsidR="00C158B7" w:rsidRPr="00BD66A3" w:rsidRDefault="00C158B7">
      <w:pPr>
        <w:rPr>
          <w:lang w:val="en-GB"/>
        </w:rPr>
      </w:pPr>
    </w:p>
    <w:sectPr w:rsidR="00C158B7" w:rsidRPr="00BD66A3" w:rsidSect="005C49FE">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F0" w:rsidRDefault="00D215F0" w:rsidP="00E85226">
      <w:pPr>
        <w:spacing w:after="0" w:line="240" w:lineRule="auto"/>
      </w:pPr>
      <w:r>
        <w:separator/>
      </w:r>
    </w:p>
  </w:endnote>
  <w:endnote w:type="continuationSeparator" w:id="0">
    <w:p w:rsidR="00D215F0" w:rsidRDefault="00D215F0" w:rsidP="00E85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F0" w:rsidRDefault="00D215F0" w:rsidP="00E85226">
      <w:pPr>
        <w:spacing w:after="0" w:line="240" w:lineRule="auto"/>
      </w:pPr>
      <w:r>
        <w:separator/>
      </w:r>
    </w:p>
  </w:footnote>
  <w:footnote w:type="continuationSeparator" w:id="0">
    <w:p w:rsidR="00D215F0" w:rsidRDefault="00D215F0" w:rsidP="00E85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B7" w:rsidRDefault="00C158B7">
    <w:pPr>
      <w:pStyle w:val="Intestazione"/>
    </w:pPr>
  </w:p>
  <w:p w:rsidR="00C158B7" w:rsidRDefault="00C158B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E85226"/>
    <w:rsid w:val="000323B9"/>
    <w:rsid w:val="000A6009"/>
    <w:rsid w:val="001073B0"/>
    <w:rsid w:val="00123DB1"/>
    <w:rsid w:val="001572DA"/>
    <w:rsid w:val="002228B0"/>
    <w:rsid w:val="002755CD"/>
    <w:rsid w:val="00393D77"/>
    <w:rsid w:val="0043647A"/>
    <w:rsid w:val="00533764"/>
    <w:rsid w:val="00566BA2"/>
    <w:rsid w:val="00597AAA"/>
    <w:rsid w:val="005A1335"/>
    <w:rsid w:val="005C49FE"/>
    <w:rsid w:val="0066141D"/>
    <w:rsid w:val="00682B50"/>
    <w:rsid w:val="008730CD"/>
    <w:rsid w:val="008F349C"/>
    <w:rsid w:val="009453CC"/>
    <w:rsid w:val="00A13874"/>
    <w:rsid w:val="00BD66A3"/>
    <w:rsid w:val="00BF56CA"/>
    <w:rsid w:val="00C14B6E"/>
    <w:rsid w:val="00C158B7"/>
    <w:rsid w:val="00CA36FA"/>
    <w:rsid w:val="00D215F0"/>
    <w:rsid w:val="00D7001A"/>
    <w:rsid w:val="00DB2788"/>
    <w:rsid w:val="00E42312"/>
    <w:rsid w:val="00E85226"/>
    <w:rsid w:val="00EB5853"/>
    <w:rsid w:val="00F842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22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E852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rsid w:val="00E85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85226"/>
    <w:rPr>
      <w:rFonts w:cs="Times New Roman"/>
    </w:rPr>
  </w:style>
  <w:style w:type="paragraph" w:styleId="Pidipagina">
    <w:name w:val="footer"/>
    <w:basedOn w:val="Normale"/>
    <w:link w:val="PidipaginaCarattere"/>
    <w:uiPriority w:val="99"/>
    <w:semiHidden/>
    <w:rsid w:val="00E85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E85226"/>
    <w:rPr>
      <w:rFonts w:cs="Times New Roman"/>
    </w:rPr>
  </w:style>
</w:styles>
</file>

<file path=word/webSettings.xml><?xml version="1.0" encoding="utf-8"?>
<w:webSettings xmlns:r="http://schemas.openxmlformats.org/officeDocument/2006/relationships" xmlns:w="http://schemas.openxmlformats.org/wordprocessingml/2006/main">
  <w:divs>
    <w:div w:id="1486777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DD2C6-E306-4178-8CF0-F68B8B88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Alice</cp:lastModifiedBy>
  <cp:revision>2</cp:revision>
  <dcterms:created xsi:type="dcterms:W3CDTF">2014-11-03T14:15:00Z</dcterms:created>
  <dcterms:modified xsi:type="dcterms:W3CDTF">2014-11-03T14:15:00Z</dcterms:modified>
</cp:coreProperties>
</file>