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526" w:rsidRDefault="00C80526" w:rsidP="00A70506">
      <w:pPr>
        <w:jc w:val="center"/>
        <w:rPr>
          <w:b/>
          <w:color w:val="C00000"/>
          <w:sz w:val="36"/>
          <w:lang w:val="en-US"/>
        </w:rPr>
      </w:pPr>
      <w:r>
        <w:rPr>
          <w:b/>
          <w:color w:val="C00000"/>
          <w:sz w:val="36"/>
          <w:lang w:val="en-US"/>
        </w:rPr>
        <w:t>THE RELUCTANT FUNDAMENTALIST</w:t>
      </w:r>
    </w:p>
    <w:p w:rsidR="00C80526" w:rsidRDefault="00C80526" w:rsidP="00A70506">
      <w:pPr>
        <w:jc w:val="center"/>
        <w:rPr>
          <w:b/>
          <w:i/>
          <w:color w:val="C00000"/>
          <w:sz w:val="28"/>
          <w:lang w:val="en-US"/>
        </w:rPr>
      </w:pPr>
      <w:r>
        <w:rPr>
          <w:b/>
          <w:i/>
          <w:color w:val="C00000"/>
          <w:sz w:val="28"/>
          <w:lang w:val="en-US"/>
        </w:rPr>
        <w:t>QUOTATIONS</w:t>
      </w:r>
    </w:p>
    <w:p w:rsidR="00C80526" w:rsidRDefault="00C80526" w:rsidP="001F19D0">
      <w:pPr>
        <w:rPr>
          <w:b/>
          <w:i/>
          <w:sz w:val="28"/>
          <w:lang w:val="en-US"/>
        </w:rPr>
      </w:pPr>
      <w:r>
        <w:rPr>
          <w:b/>
          <w:i/>
          <w:sz w:val="28"/>
          <w:lang w:val="en-US"/>
        </w:rPr>
        <w:t>CHAPTER 12:</w:t>
      </w:r>
    </w:p>
    <w:tbl>
      <w:tblPr>
        <w:tblpPr w:leftFromText="141" w:rightFromText="141" w:vertAnchor="page" w:horzAnchor="margin" w:tblpY="7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9"/>
        <w:gridCol w:w="3259"/>
        <w:gridCol w:w="3260"/>
      </w:tblGrid>
      <w:tr w:rsidR="00C80526" w:rsidRPr="009E5D15" w:rsidTr="009E5D15">
        <w:tc>
          <w:tcPr>
            <w:tcW w:w="3259" w:type="dxa"/>
          </w:tcPr>
          <w:p w:rsidR="00C80526" w:rsidRPr="009E5D15" w:rsidRDefault="00C80526" w:rsidP="009E5D15">
            <w:pPr>
              <w:spacing w:after="0" w:line="240" w:lineRule="auto"/>
              <w:jc w:val="center"/>
              <w:rPr>
                <w:lang w:val="en-US"/>
              </w:rPr>
            </w:pPr>
            <w:r w:rsidRPr="009E5D15">
              <w:rPr>
                <w:lang w:val="en-US"/>
              </w:rPr>
              <w:t>QUOTATIONS:  ORIGINAL VERSION</w:t>
            </w:r>
          </w:p>
        </w:tc>
        <w:tc>
          <w:tcPr>
            <w:tcW w:w="3259" w:type="dxa"/>
          </w:tcPr>
          <w:p w:rsidR="00C80526" w:rsidRPr="009E5D15" w:rsidRDefault="00C80526" w:rsidP="009E5D15">
            <w:pPr>
              <w:spacing w:after="0" w:line="240" w:lineRule="auto"/>
              <w:jc w:val="center"/>
              <w:rPr>
                <w:lang w:val="en-US"/>
              </w:rPr>
            </w:pPr>
            <w:r w:rsidRPr="009E5D15">
              <w:rPr>
                <w:lang w:val="en-US"/>
              </w:rPr>
              <w:t>QUOTATION: ITALIAN TRANSLATION</w:t>
            </w:r>
          </w:p>
        </w:tc>
        <w:tc>
          <w:tcPr>
            <w:tcW w:w="3260" w:type="dxa"/>
          </w:tcPr>
          <w:p w:rsidR="00C80526" w:rsidRPr="009E5D15" w:rsidRDefault="00C80526" w:rsidP="009E5D15">
            <w:pPr>
              <w:spacing w:after="0" w:line="240" w:lineRule="auto"/>
              <w:jc w:val="center"/>
              <w:rPr>
                <w:lang w:val="en-US"/>
              </w:rPr>
            </w:pPr>
            <w:r w:rsidRPr="009E5D15">
              <w:rPr>
                <w:lang w:val="en-US"/>
              </w:rPr>
              <w:t>COMPARATIVE ANALYSIS</w:t>
            </w:r>
          </w:p>
        </w:tc>
      </w:tr>
      <w:tr w:rsidR="00C80526" w:rsidRPr="00141454" w:rsidTr="009E5D15">
        <w:tc>
          <w:tcPr>
            <w:tcW w:w="3259" w:type="dxa"/>
          </w:tcPr>
          <w:p w:rsidR="00C80526" w:rsidRPr="009E5D15" w:rsidRDefault="00C80526" w:rsidP="009E5D15">
            <w:pPr>
              <w:spacing w:after="0" w:line="240" w:lineRule="auto"/>
              <w:rPr>
                <w:i/>
                <w:sz w:val="20"/>
                <w:szCs w:val="20"/>
                <w:lang w:val="en-US"/>
              </w:rPr>
            </w:pPr>
            <w:r w:rsidRPr="009E5D15">
              <w:rPr>
                <w:i/>
                <w:sz w:val="20"/>
                <w:szCs w:val="20"/>
                <w:lang w:val="en-US"/>
              </w:rPr>
              <w:t>“Observe how often the words brothers and sons appear in their signage; these are family-run establishments, passed gently from generation to generation. No, not in the case of that retailer of guns and ammunitions, as you correctly point out-but surely you must concede for the most part that they are charming and rather quaint.”</w:t>
            </w:r>
          </w:p>
        </w:tc>
        <w:tc>
          <w:tcPr>
            <w:tcW w:w="3259" w:type="dxa"/>
          </w:tcPr>
          <w:p w:rsidR="00C80526" w:rsidRPr="009E5D15" w:rsidRDefault="00C80526" w:rsidP="009E5D15">
            <w:pPr>
              <w:spacing w:after="0" w:line="240" w:lineRule="auto"/>
              <w:rPr>
                <w:i/>
                <w:sz w:val="20"/>
                <w:szCs w:val="20"/>
              </w:rPr>
            </w:pPr>
            <w:r w:rsidRPr="009E5D15">
              <w:rPr>
                <w:i/>
                <w:sz w:val="20"/>
                <w:szCs w:val="20"/>
              </w:rPr>
              <w:t>“</w:t>
            </w:r>
            <w:r w:rsidRPr="003A1909">
              <w:rPr>
                <w:i/>
                <w:color w:val="0F243E" w:themeColor="text2" w:themeShade="80"/>
                <w:sz w:val="20"/>
                <w:szCs w:val="20"/>
              </w:rPr>
              <w:t>Ha notato con quanta frequenza appaiono le parole fratelli e figli in quelle insigne? Sono negozi a conduzione familiare, tramandati di generazione in generazione. No, non nel caso di quel dettagliante di armi e munizioni, ha ragione, ma deve ammettere che per la maggior parte si tratta di botteghe pittoresche e dotate di un certo fascino.”</w:t>
            </w:r>
          </w:p>
        </w:tc>
        <w:tc>
          <w:tcPr>
            <w:tcW w:w="3260" w:type="dxa"/>
            <w:vMerge w:val="restart"/>
          </w:tcPr>
          <w:p w:rsidR="00C80526" w:rsidRPr="00036821" w:rsidRDefault="00C80526" w:rsidP="009E5D15">
            <w:pPr>
              <w:spacing w:after="0" w:line="240" w:lineRule="auto"/>
              <w:rPr>
                <w:lang w:val="en-GB"/>
              </w:rPr>
            </w:pPr>
            <w:r w:rsidRPr="00036821">
              <w:rPr>
                <w:lang w:val="en-GB"/>
              </w:rPr>
              <w:t>The Italian version starts with a question, not with an invitation.</w:t>
            </w:r>
            <w:r>
              <w:rPr>
                <w:lang w:val="en-GB"/>
              </w:rPr>
              <w:t xml:space="preserve">  There are not substantial differences in the other part of quotation. </w:t>
            </w:r>
            <w:r w:rsidRPr="00036821">
              <w:rPr>
                <w:lang w:val="en-GB"/>
              </w:rPr>
              <w:t xml:space="preserve">   </w:t>
            </w:r>
          </w:p>
        </w:tc>
      </w:tr>
      <w:tr w:rsidR="00C80526" w:rsidRPr="00141454" w:rsidTr="009E5D15">
        <w:tc>
          <w:tcPr>
            <w:tcW w:w="6518" w:type="dxa"/>
            <w:gridSpan w:val="2"/>
          </w:tcPr>
          <w:p w:rsidR="00C80526" w:rsidRPr="009E5D15" w:rsidRDefault="00C80526" w:rsidP="009E5D15">
            <w:pPr>
              <w:spacing w:after="0" w:line="240" w:lineRule="auto"/>
              <w:rPr>
                <w:lang w:val="en-US"/>
              </w:rPr>
            </w:pPr>
            <w:r w:rsidRPr="009E5D15">
              <w:rPr>
                <w:b/>
                <w:i/>
                <w:lang w:val="en-US"/>
              </w:rPr>
              <w:t>Reason for choice</w:t>
            </w:r>
            <w:r w:rsidRPr="00036821">
              <w:rPr>
                <w:bCs/>
                <w:iCs/>
                <w:lang w:val="en-US"/>
              </w:rPr>
              <w:t xml:space="preserve">: it shows the </w:t>
            </w:r>
            <w:r w:rsidRPr="003A1909">
              <w:rPr>
                <w:bCs/>
                <w:iCs/>
                <w:color w:val="C00000"/>
                <w:lang w:val="en-US"/>
              </w:rPr>
              <w:t>importance of tradition in Pakistani culture.</w:t>
            </w:r>
          </w:p>
        </w:tc>
        <w:tc>
          <w:tcPr>
            <w:tcW w:w="3260" w:type="dxa"/>
            <w:vMerge/>
          </w:tcPr>
          <w:p w:rsidR="00C80526" w:rsidRPr="009E5D15" w:rsidRDefault="00C80526" w:rsidP="009E5D15">
            <w:pPr>
              <w:spacing w:after="0" w:line="240" w:lineRule="auto"/>
              <w:rPr>
                <w:lang w:val="en-US"/>
              </w:rPr>
            </w:pPr>
          </w:p>
        </w:tc>
      </w:tr>
      <w:tr w:rsidR="00C80526" w:rsidRPr="00141454" w:rsidTr="009E5D15">
        <w:tc>
          <w:tcPr>
            <w:tcW w:w="6518" w:type="dxa"/>
            <w:gridSpan w:val="2"/>
          </w:tcPr>
          <w:p w:rsidR="00C80526" w:rsidRPr="00036821" w:rsidRDefault="00C80526" w:rsidP="009E5D15">
            <w:pPr>
              <w:spacing w:after="0" w:line="240" w:lineRule="auto"/>
              <w:rPr>
                <w:bCs/>
                <w:iCs/>
                <w:lang w:val="en-US"/>
              </w:rPr>
            </w:pPr>
            <w:r w:rsidRPr="009E5D15">
              <w:rPr>
                <w:b/>
                <w:i/>
                <w:lang w:val="en-US"/>
              </w:rPr>
              <w:t>Analysis:</w:t>
            </w:r>
            <w:r>
              <w:rPr>
                <w:b/>
                <w:i/>
                <w:lang w:val="en-US"/>
              </w:rPr>
              <w:t xml:space="preserve"> </w:t>
            </w:r>
            <w:r>
              <w:rPr>
                <w:bCs/>
                <w:iCs/>
                <w:lang w:val="en-US"/>
              </w:rPr>
              <w:t xml:space="preserve">the words like “generation” and “family-run establishments” makes the importance of tradition in Pakistani culture clear.  The clarification </w:t>
            </w:r>
            <w:r w:rsidR="003A1909">
              <w:rPr>
                <w:bCs/>
                <w:iCs/>
                <w:lang w:val="en-US"/>
              </w:rPr>
              <w:t>about the</w:t>
            </w:r>
            <w:r>
              <w:rPr>
                <w:bCs/>
                <w:iCs/>
                <w:lang w:val="en-US"/>
              </w:rPr>
              <w:t xml:space="preserve"> retailer of guns underline that war is not a tradition for </w:t>
            </w:r>
            <w:smartTag w:uri="urn:schemas-microsoft-com:office:smarttags" w:element="place">
              <w:smartTag w:uri="urn:schemas-microsoft-com:office:smarttags" w:element="country-region">
                <w:r>
                  <w:rPr>
                    <w:bCs/>
                    <w:iCs/>
                    <w:lang w:val="en-US"/>
                  </w:rPr>
                  <w:t>Pakistan</w:t>
                </w:r>
              </w:smartTag>
            </w:smartTag>
            <w:r>
              <w:rPr>
                <w:bCs/>
                <w:iCs/>
                <w:lang w:val="en-US"/>
              </w:rPr>
              <w:t xml:space="preserve">. </w:t>
            </w:r>
          </w:p>
        </w:tc>
        <w:tc>
          <w:tcPr>
            <w:tcW w:w="3260" w:type="dxa"/>
            <w:vMerge/>
          </w:tcPr>
          <w:p w:rsidR="00C80526" w:rsidRPr="009E5D15" w:rsidRDefault="00C80526" w:rsidP="009E5D15">
            <w:pPr>
              <w:spacing w:after="0" w:line="240" w:lineRule="auto"/>
              <w:rPr>
                <w:lang w:val="en-US"/>
              </w:rPr>
            </w:pPr>
          </w:p>
        </w:tc>
      </w:tr>
      <w:tr w:rsidR="00C80526" w:rsidRPr="00141454" w:rsidTr="009E5D15">
        <w:tc>
          <w:tcPr>
            <w:tcW w:w="6518" w:type="dxa"/>
            <w:gridSpan w:val="2"/>
          </w:tcPr>
          <w:p w:rsidR="00C80526" w:rsidRPr="00036821" w:rsidRDefault="00C80526" w:rsidP="009E5D15">
            <w:pPr>
              <w:spacing w:after="0" w:line="240" w:lineRule="auto"/>
              <w:rPr>
                <w:bCs/>
                <w:iCs/>
                <w:lang w:val="en-US"/>
              </w:rPr>
            </w:pPr>
            <w:r w:rsidRPr="009E5D15">
              <w:rPr>
                <w:b/>
                <w:i/>
                <w:lang w:val="en-US"/>
              </w:rPr>
              <w:t>Possible conclusion:</w:t>
            </w:r>
            <w:r>
              <w:rPr>
                <w:b/>
                <w:i/>
                <w:lang w:val="en-US"/>
              </w:rPr>
              <w:t xml:space="preserve"> </w:t>
            </w:r>
            <w:r w:rsidR="003A1909">
              <w:rPr>
                <w:bCs/>
                <w:iCs/>
                <w:lang w:val="en-US"/>
              </w:rPr>
              <w:t>it denies</w:t>
            </w:r>
            <w:r>
              <w:rPr>
                <w:bCs/>
                <w:iCs/>
                <w:lang w:val="en-US"/>
              </w:rPr>
              <w:t xml:space="preserve"> the prejudice that war is important in Pakistani culture. It also </w:t>
            </w:r>
            <w:r w:rsidR="003A1909">
              <w:rPr>
                <w:bCs/>
                <w:iCs/>
                <w:lang w:val="en-US"/>
              </w:rPr>
              <w:t>underlines</w:t>
            </w:r>
            <w:r>
              <w:rPr>
                <w:bCs/>
                <w:iCs/>
                <w:lang w:val="en-US"/>
              </w:rPr>
              <w:t xml:space="preserve"> the importance of tradition in Changez’s motherland.  </w:t>
            </w:r>
          </w:p>
        </w:tc>
        <w:tc>
          <w:tcPr>
            <w:tcW w:w="3260" w:type="dxa"/>
            <w:vMerge/>
          </w:tcPr>
          <w:p w:rsidR="00C80526" w:rsidRPr="009E5D15" w:rsidRDefault="00C80526" w:rsidP="009E5D15">
            <w:pPr>
              <w:spacing w:after="0" w:line="240" w:lineRule="auto"/>
              <w:rPr>
                <w:lang w:val="en-US"/>
              </w:rPr>
            </w:pPr>
          </w:p>
        </w:tc>
      </w:tr>
      <w:tr w:rsidR="00C80526" w:rsidRPr="00141454" w:rsidTr="009E5D15">
        <w:tc>
          <w:tcPr>
            <w:tcW w:w="3259" w:type="dxa"/>
          </w:tcPr>
          <w:p w:rsidR="00C80526" w:rsidRPr="009E5D15" w:rsidRDefault="00C80526" w:rsidP="009E5D15">
            <w:pPr>
              <w:spacing w:after="0" w:line="240" w:lineRule="auto"/>
              <w:rPr>
                <w:i/>
                <w:sz w:val="20"/>
                <w:szCs w:val="20"/>
                <w:lang w:val="en-US"/>
              </w:rPr>
            </w:pPr>
            <w:r w:rsidRPr="009E5D15">
              <w:rPr>
                <w:i/>
                <w:sz w:val="20"/>
                <w:szCs w:val="20"/>
                <w:lang w:val="en-US"/>
              </w:rPr>
              <w:t xml:space="preserve">“I had returned to </w:t>
            </w:r>
            <w:smartTag w:uri="urn:schemas-microsoft-com:office:smarttags" w:element="country-region">
              <w:smartTag w:uri="urn:schemas-microsoft-com:office:smarttags" w:element="place">
                <w:r w:rsidRPr="009E5D15">
                  <w:rPr>
                    <w:i/>
                    <w:sz w:val="20"/>
                    <w:szCs w:val="20"/>
                    <w:lang w:val="en-US"/>
                  </w:rPr>
                  <w:t>Pakistan</w:t>
                </w:r>
              </w:smartTag>
            </w:smartTag>
            <w:r w:rsidRPr="009E5D15">
              <w:rPr>
                <w:i/>
                <w:sz w:val="20"/>
                <w:szCs w:val="20"/>
                <w:lang w:val="en-US"/>
              </w:rPr>
              <w:t xml:space="preserve">, but my inhabitation of your country had not entirely ceased. I remained emotionally entwined with Erica, and I brought something of her with me to </w:t>
            </w:r>
            <w:smartTag w:uri="urn:schemas-microsoft-com:office:smarttags" w:element="place">
              <w:smartTag w:uri="urn:schemas-microsoft-com:office:smarttags" w:element="City">
                <w:r w:rsidRPr="009E5D15">
                  <w:rPr>
                    <w:i/>
                    <w:sz w:val="20"/>
                    <w:szCs w:val="20"/>
                    <w:lang w:val="en-US"/>
                  </w:rPr>
                  <w:t>Lahore</w:t>
                </w:r>
              </w:smartTag>
            </w:smartTag>
            <w:r w:rsidRPr="009E5D15">
              <w:rPr>
                <w:i/>
                <w:sz w:val="20"/>
                <w:szCs w:val="20"/>
                <w:lang w:val="en-US"/>
              </w:rPr>
              <w:t>-or perhaps it would be more accurate to say that I lost something of myself to her that I was unable to relocate in the city of my birth.”</w:t>
            </w:r>
          </w:p>
        </w:tc>
        <w:tc>
          <w:tcPr>
            <w:tcW w:w="3259" w:type="dxa"/>
          </w:tcPr>
          <w:p w:rsidR="00C80526" w:rsidRPr="003A1909" w:rsidRDefault="00C80526" w:rsidP="009E5D15">
            <w:pPr>
              <w:spacing w:after="0" w:line="240" w:lineRule="auto"/>
              <w:rPr>
                <w:i/>
                <w:color w:val="0F243E" w:themeColor="text2" w:themeShade="80"/>
                <w:sz w:val="20"/>
                <w:szCs w:val="20"/>
              </w:rPr>
            </w:pPr>
            <w:r w:rsidRPr="003A1909">
              <w:rPr>
                <w:i/>
                <w:color w:val="0F243E" w:themeColor="text2" w:themeShade="80"/>
                <w:sz w:val="20"/>
                <w:szCs w:val="20"/>
              </w:rPr>
              <w:t>“Ero tornado in Pakistan, ma non avevo del tutto cessato di abitare il vostro paese. Restavo emotivamente legato a Erica, e avevo portato qualcosa di lei con me a Lahore, o forse sarebbe più esatto dire che avevo lasciato con lei qualcosa di me che non riuscivo a ritrovare nella mia città natale.”</w:t>
            </w:r>
          </w:p>
        </w:tc>
        <w:tc>
          <w:tcPr>
            <w:tcW w:w="3260" w:type="dxa"/>
            <w:vMerge w:val="restart"/>
          </w:tcPr>
          <w:p w:rsidR="00C80526" w:rsidRPr="00787334" w:rsidRDefault="00141454" w:rsidP="009E5D15">
            <w:pPr>
              <w:spacing w:after="0" w:line="240" w:lineRule="auto"/>
              <w:rPr>
                <w:lang w:val="en-GB"/>
              </w:rPr>
            </w:pPr>
            <w:r>
              <w:rPr>
                <w:lang w:val="en-GB"/>
              </w:rPr>
              <w:t>The use of passive form in the English version makes the reader understand that Changez has not chosen to inhabit America.</w:t>
            </w:r>
          </w:p>
        </w:tc>
      </w:tr>
      <w:tr w:rsidR="00C80526" w:rsidRPr="00141454" w:rsidTr="009E5D15">
        <w:tc>
          <w:tcPr>
            <w:tcW w:w="6518" w:type="dxa"/>
            <w:gridSpan w:val="2"/>
          </w:tcPr>
          <w:p w:rsidR="00C80526" w:rsidRPr="009E5D15" w:rsidRDefault="00C80526" w:rsidP="009E5D15">
            <w:pPr>
              <w:spacing w:after="0" w:line="240" w:lineRule="auto"/>
              <w:rPr>
                <w:lang w:val="en-US"/>
              </w:rPr>
            </w:pPr>
            <w:r w:rsidRPr="009E5D15">
              <w:rPr>
                <w:b/>
                <w:i/>
                <w:lang w:val="en-US"/>
              </w:rPr>
              <w:t>Reason for choice:</w:t>
            </w:r>
            <w:r>
              <w:rPr>
                <w:b/>
                <w:i/>
                <w:lang w:val="en-US"/>
              </w:rPr>
              <w:t xml:space="preserve"> </w:t>
            </w:r>
            <w:r w:rsidRPr="00787334">
              <w:rPr>
                <w:bCs/>
                <w:iCs/>
                <w:lang w:val="en-US"/>
              </w:rPr>
              <w:t xml:space="preserve">it </w:t>
            </w:r>
            <w:r w:rsidR="003A1909" w:rsidRPr="00787334">
              <w:rPr>
                <w:bCs/>
                <w:iCs/>
                <w:lang w:val="en-US"/>
              </w:rPr>
              <w:t>underlines that</w:t>
            </w:r>
            <w:r w:rsidRPr="00787334">
              <w:rPr>
                <w:bCs/>
                <w:iCs/>
                <w:lang w:val="en-US"/>
              </w:rPr>
              <w:t xml:space="preserve"> the protagonist is </w:t>
            </w:r>
            <w:r w:rsidRPr="003A1909">
              <w:rPr>
                <w:bCs/>
                <w:iCs/>
                <w:color w:val="C00000"/>
                <w:lang w:val="en-US"/>
              </w:rPr>
              <w:t>changed after the contact with another culture.</w:t>
            </w:r>
            <w:r>
              <w:rPr>
                <w:b/>
                <w:i/>
                <w:lang w:val="en-US"/>
              </w:rPr>
              <w:t xml:space="preserve"> </w:t>
            </w:r>
          </w:p>
        </w:tc>
        <w:tc>
          <w:tcPr>
            <w:tcW w:w="3260" w:type="dxa"/>
            <w:vMerge/>
          </w:tcPr>
          <w:p w:rsidR="00C80526" w:rsidRPr="009E5D15" w:rsidRDefault="00C80526" w:rsidP="009E5D15">
            <w:pPr>
              <w:spacing w:after="0" w:line="240" w:lineRule="auto"/>
              <w:rPr>
                <w:lang w:val="en-US"/>
              </w:rPr>
            </w:pPr>
          </w:p>
        </w:tc>
      </w:tr>
      <w:tr w:rsidR="00C80526" w:rsidRPr="00141454" w:rsidTr="009E5D15">
        <w:tc>
          <w:tcPr>
            <w:tcW w:w="6518" w:type="dxa"/>
            <w:gridSpan w:val="2"/>
          </w:tcPr>
          <w:p w:rsidR="00C80526" w:rsidRDefault="00C80526" w:rsidP="009E5D15">
            <w:pPr>
              <w:spacing w:after="0" w:line="240" w:lineRule="auto"/>
              <w:rPr>
                <w:bCs/>
                <w:iCs/>
                <w:lang w:val="en-US"/>
              </w:rPr>
            </w:pPr>
            <w:r w:rsidRPr="009E5D15">
              <w:rPr>
                <w:b/>
                <w:i/>
                <w:lang w:val="en-US"/>
              </w:rPr>
              <w:t>Analysis:</w:t>
            </w:r>
            <w:r>
              <w:rPr>
                <w:b/>
                <w:i/>
                <w:lang w:val="en-US"/>
              </w:rPr>
              <w:t xml:space="preserve"> </w:t>
            </w:r>
            <w:r>
              <w:rPr>
                <w:bCs/>
                <w:iCs/>
                <w:lang w:val="en-US"/>
              </w:rPr>
              <w:t xml:space="preserve">the alliteration of letter “e” </w:t>
            </w:r>
            <w:r w:rsidR="003A1909">
              <w:rPr>
                <w:bCs/>
                <w:iCs/>
                <w:lang w:val="en-US"/>
              </w:rPr>
              <w:t>evokes</w:t>
            </w:r>
            <w:r>
              <w:rPr>
                <w:bCs/>
                <w:iCs/>
                <w:lang w:val="en-US"/>
              </w:rPr>
              <w:t xml:space="preserve"> a sense of connection. </w:t>
            </w:r>
          </w:p>
          <w:p w:rsidR="00C80526" w:rsidRPr="00787334" w:rsidRDefault="00C80526" w:rsidP="009E5D15">
            <w:pPr>
              <w:spacing w:after="0" w:line="240" w:lineRule="auto"/>
              <w:rPr>
                <w:bCs/>
                <w:iCs/>
                <w:lang w:val="en-US"/>
              </w:rPr>
            </w:pPr>
            <w:r>
              <w:rPr>
                <w:bCs/>
                <w:iCs/>
                <w:lang w:val="en-US"/>
              </w:rPr>
              <w:t xml:space="preserve">Erica in this quotation is used also like a metaphor of </w:t>
            </w:r>
            <w:smartTag w:uri="urn:schemas-microsoft-com:office:smarttags" w:element="country-region">
              <w:r>
                <w:rPr>
                  <w:bCs/>
                  <w:iCs/>
                  <w:lang w:val="en-US"/>
                </w:rPr>
                <w:t>America</w:t>
              </w:r>
            </w:smartTag>
            <w:r>
              <w:rPr>
                <w:bCs/>
                <w:iCs/>
                <w:lang w:val="en-US"/>
              </w:rPr>
              <w:t xml:space="preserve">: when he </w:t>
            </w:r>
            <w:r w:rsidR="003A1909">
              <w:rPr>
                <w:bCs/>
                <w:iCs/>
                <w:lang w:val="en-US"/>
              </w:rPr>
              <w:t>comes</w:t>
            </w:r>
            <w:r>
              <w:rPr>
                <w:bCs/>
                <w:iCs/>
                <w:lang w:val="en-US"/>
              </w:rPr>
              <w:t xml:space="preserve"> back to </w:t>
            </w:r>
            <w:smartTag w:uri="urn:schemas-microsoft-com:office:smarttags" w:element="place">
              <w:smartTag w:uri="urn:schemas-microsoft-com:office:smarttags" w:element="City">
                <w:r>
                  <w:rPr>
                    <w:bCs/>
                    <w:iCs/>
                    <w:lang w:val="en-US"/>
                  </w:rPr>
                  <w:t>Lahore</w:t>
                </w:r>
              </w:smartTag>
            </w:smartTag>
            <w:r>
              <w:rPr>
                <w:bCs/>
                <w:iCs/>
                <w:lang w:val="en-US"/>
              </w:rPr>
              <w:t xml:space="preserve"> he brought something of American culture with him. This is reinforced by the sentence </w:t>
            </w:r>
            <w:r w:rsidRPr="009E5D15">
              <w:rPr>
                <w:i/>
                <w:sz w:val="20"/>
                <w:szCs w:val="20"/>
                <w:lang w:val="en-US"/>
              </w:rPr>
              <w:t xml:space="preserve"> </w:t>
            </w:r>
            <w:r>
              <w:rPr>
                <w:i/>
                <w:sz w:val="20"/>
                <w:szCs w:val="20"/>
                <w:lang w:val="en-US"/>
              </w:rPr>
              <w:t>“</w:t>
            </w:r>
            <w:r w:rsidRPr="009E5D15">
              <w:rPr>
                <w:i/>
                <w:sz w:val="20"/>
                <w:szCs w:val="20"/>
                <w:lang w:val="en-US"/>
              </w:rPr>
              <w:t>I was unable to r</w:t>
            </w:r>
            <w:r>
              <w:rPr>
                <w:i/>
                <w:sz w:val="20"/>
                <w:szCs w:val="20"/>
                <w:lang w:val="en-US"/>
              </w:rPr>
              <w:t>elocate in the city of my birth</w:t>
            </w:r>
            <w:r w:rsidRPr="009E5D15">
              <w:rPr>
                <w:i/>
                <w:sz w:val="20"/>
                <w:szCs w:val="20"/>
                <w:lang w:val="en-US"/>
              </w:rPr>
              <w:t>”</w:t>
            </w:r>
            <w:r>
              <w:rPr>
                <w:i/>
                <w:sz w:val="20"/>
                <w:szCs w:val="20"/>
                <w:lang w:val="en-US"/>
              </w:rPr>
              <w:t>.</w:t>
            </w:r>
          </w:p>
        </w:tc>
        <w:tc>
          <w:tcPr>
            <w:tcW w:w="3260" w:type="dxa"/>
            <w:vMerge/>
          </w:tcPr>
          <w:p w:rsidR="00C80526" w:rsidRPr="009E5D15" w:rsidRDefault="00C80526" w:rsidP="009E5D15">
            <w:pPr>
              <w:spacing w:after="0" w:line="240" w:lineRule="auto"/>
              <w:rPr>
                <w:lang w:val="en-US"/>
              </w:rPr>
            </w:pPr>
          </w:p>
        </w:tc>
      </w:tr>
      <w:tr w:rsidR="00C80526" w:rsidRPr="00141454" w:rsidTr="009E5D15">
        <w:tc>
          <w:tcPr>
            <w:tcW w:w="6518" w:type="dxa"/>
            <w:gridSpan w:val="2"/>
          </w:tcPr>
          <w:p w:rsidR="00C80526" w:rsidRPr="009E5D15" w:rsidRDefault="00C80526" w:rsidP="009E5D15">
            <w:pPr>
              <w:spacing w:after="0" w:line="240" w:lineRule="auto"/>
              <w:rPr>
                <w:lang w:val="en-US"/>
              </w:rPr>
            </w:pPr>
            <w:r w:rsidRPr="009E5D15">
              <w:rPr>
                <w:b/>
                <w:i/>
                <w:lang w:val="en-US"/>
              </w:rPr>
              <w:t>Possible conclusion:</w:t>
            </w:r>
            <w:r>
              <w:rPr>
                <w:b/>
                <w:i/>
                <w:lang w:val="en-US"/>
              </w:rPr>
              <w:t xml:space="preserve"> </w:t>
            </w:r>
            <w:r w:rsidRPr="004D7702">
              <w:rPr>
                <w:bCs/>
                <w:iCs/>
                <w:lang w:val="en-US"/>
              </w:rPr>
              <w:t>the acquisition of a new culture gives Changez something new, but living between two cultures makes him never feels at home.</w:t>
            </w:r>
          </w:p>
        </w:tc>
        <w:tc>
          <w:tcPr>
            <w:tcW w:w="3260" w:type="dxa"/>
            <w:vMerge/>
          </w:tcPr>
          <w:p w:rsidR="00C80526" w:rsidRPr="009E5D15" w:rsidRDefault="00C80526" w:rsidP="009E5D15">
            <w:pPr>
              <w:spacing w:after="0" w:line="240" w:lineRule="auto"/>
              <w:rPr>
                <w:lang w:val="en-US"/>
              </w:rPr>
            </w:pPr>
          </w:p>
        </w:tc>
      </w:tr>
      <w:tr w:rsidR="00C80526" w:rsidRPr="00141454" w:rsidTr="009E5D15">
        <w:tc>
          <w:tcPr>
            <w:tcW w:w="3259" w:type="dxa"/>
          </w:tcPr>
          <w:p w:rsidR="00C80526" w:rsidRPr="009E5D15" w:rsidRDefault="00C80526" w:rsidP="009E5D15">
            <w:pPr>
              <w:spacing w:after="0" w:line="240" w:lineRule="auto"/>
              <w:rPr>
                <w:i/>
                <w:sz w:val="20"/>
                <w:szCs w:val="20"/>
                <w:lang w:val="en-US"/>
              </w:rPr>
            </w:pPr>
            <w:r w:rsidRPr="009E5D15">
              <w:rPr>
                <w:i/>
                <w:sz w:val="20"/>
                <w:szCs w:val="20"/>
                <w:lang w:val="en-US"/>
              </w:rPr>
              <w:t xml:space="preserve">“Yes, you are right: they have paused. What do you mean, sir, did I give them a signal? Of course not! I have as little insight into their motivations and identities as you do. One can only speculate that they have dropped something, or are </w:t>
            </w:r>
            <w:r w:rsidRPr="009E5D15">
              <w:rPr>
                <w:i/>
                <w:sz w:val="20"/>
                <w:szCs w:val="20"/>
                <w:lang w:val="en-US"/>
              </w:rPr>
              <w:lastRenderedPageBreak/>
              <w:t>engaged in conversation among themselves. Or perhaps they are wondering why we have paused, and whether we mean them ill!”</w:t>
            </w:r>
          </w:p>
        </w:tc>
        <w:tc>
          <w:tcPr>
            <w:tcW w:w="3259" w:type="dxa"/>
          </w:tcPr>
          <w:p w:rsidR="00C80526" w:rsidRPr="003A1909" w:rsidRDefault="00C80526" w:rsidP="009E5D15">
            <w:pPr>
              <w:spacing w:after="0" w:line="240" w:lineRule="auto"/>
              <w:rPr>
                <w:color w:val="0F243E" w:themeColor="text2" w:themeShade="80"/>
              </w:rPr>
            </w:pPr>
            <w:r w:rsidRPr="003A1909">
              <w:rPr>
                <w:color w:val="0F243E" w:themeColor="text2" w:themeShade="80"/>
              </w:rPr>
              <w:lastRenderedPageBreak/>
              <w:t>“</w:t>
            </w:r>
            <w:r w:rsidRPr="003A1909">
              <w:rPr>
                <w:i/>
                <w:color w:val="0F243E" w:themeColor="text2" w:themeShade="80"/>
                <w:sz w:val="20"/>
                <w:szCs w:val="20"/>
              </w:rPr>
              <w:t xml:space="preserve">Sì, ha ragione: si sono fermata. Cosa intende, signore, se ho dato loro un segnale? Certo che no! Le loro motivazioni e identità mi sono oscure quanto a lei. Forse a uno di loro è caduto qualcosa, oppure sono impegnati in una discussione. O forse </w:t>
            </w:r>
            <w:r w:rsidRPr="003A1909">
              <w:rPr>
                <w:i/>
                <w:color w:val="0F243E" w:themeColor="text2" w:themeShade="80"/>
                <w:sz w:val="20"/>
                <w:szCs w:val="20"/>
              </w:rPr>
              <w:lastRenderedPageBreak/>
              <w:t>si stanno chiedendo perché noi ci siamo fermati, se abbiamo cattive intenzioni!”</w:t>
            </w:r>
          </w:p>
        </w:tc>
        <w:tc>
          <w:tcPr>
            <w:tcW w:w="3260" w:type="dxa"/>
            <w:vMerge w:val="restart"/>
          </w:tcPr>
          <w:p w:rsidR="00C80526" w:rsidRPr="00311364" w:rsidRDefault="00C80526" w:rsidP="009E5D15">
            <w:pPr>
              <w:spacing w:after="0" w:line="240" w:lineRule="auto"/>
              <w:rPr>
                <w:lang w:val="en-GB"/>
              </w:rPr>
            </w:pPr>
            <w:r w:rsidRPr="00311364">
              <w:rPr>
                <w:lang w:val="en-GB"/>
              </w:rPr>
              <w:lastRenderedPageBreak/>
              <w:t xml:space="preserve">The </w:t>
            </w:r>
            <w:r>
              <w:rPr>
                <w:lang w:val="en-GB"/>
              </w:rPr>
              <w:t>tone of the I</w:t>
            </w:r>
            <w:r w:rsidRPr="00311364">
              <w:rPr>
                <w:lang w:val="en-GB"/>
              </w:rPr>
              <w:t>talian version</w:t>
            </w:r>
            <w:r>
              <w:rPr>
                <w:lang w:val="en-GB"/>
              </w:rPr>
              <w:t xml:space="preserve"> i</w:t>
            </w:r>
            <w:r w:rsidRPr="00311364">
              <w:rPr>
                <w:lang w:val="en-GB"/>
              </w:rPr>
              <w:t xml:space="preserve">s </w:t>
            </w:r>
            <w:r>
              <w:rPr>
                <w:lang w:val="en-GB"/>
              </w:rPr>
              <w:t>angriest than the English version one.</w:t>
            </w:r>
          </w:p>
        </w:tc>
      </w:tr>
      <w:tr w:rsidR="00C80526" w:rsidRPr="00141454" w:rsidTr="009E5D15">
        <w:tc>
          <w:tcPr>
            <w:tcW w:w="6518" w:type="dxa"/>
            <w:gridSpan w:val="2"/>
          </w:tcPr>
          <w:p w:rsidR="00C80526" w:rsidRPr="009E5D15" w:rsidRDefault="00C80526" w:rsidP="009E5D15">
            <w:pPr>
              <w:spacing w:after="0" w:line="240" w:lineRule="auto"/>
              <w:rPr>
                <w:lang w:val="en-US"/>
              </w:rPr>
            </w:pPr>
            <w:r w:rsidRPr="009E5D15">
              <w:rPr>
                <w:b/>
                <w:i/>
                <w:lang w:val="en-US"/>
              </w:rPr>
              <w:lastRenderedPageBreak/>
              <w:t>Reason for choice</w:t>
            </w:r>
            <w:r w:rsidRPr="00311364">
              <w:rPr>
                <w:bCs/>
                <w:iCs/>
                <w:lang w:val="en-US"/>
              </w:rPr>
              <w:t xml:space="preserve">: it </w:t>
            </w:r>
            <w:r w:rsidR="003A1909" w:rsidRPr="00311364">
              <w:rPr>
                <w:bCs/>
                <w:iCs/>
                <w:lang w:val="en-US"/>
              </w:rPr>
              <w:t>presents the</w:t>
            </w:r>
            <w:r w:rsidRPr="00311364">
              <w:rPr>
                <w:bCs/>
                <w:iCs/>
                <w:lang w:val="en-US"/>
              </w:rPr>
              <w:t xml:space="preserve"> themes of </w:t>
            </w:r>
            <w:r w:rsidRPr="003A1909">
              <w:rPr>
                <w:bCs/>
                <w:iCs/>
                <w:color w:val="C00000"/>
                <w:lang w:val="en-US"/>
              </w:rPr>
              <w:t>prejudice and fear of the other.</w:t>
            </w:r>
          </w:p>
        </w:tc>
        <w:tc>
          <w:tcPr>
            <w:tcW w:w="3260" w:type="dxa"/>
            <w:vMerge/>
          </w:tcPr>
          <w:p w:rsidR="00C80526" w:rsidRPr="00311364" w:rsidRDefault="00C80526" w:rsidP="009E5D15">
            <w:pPr>
              <w:spacing w:after="0" w:line="240" w:lineRule="auto"/>
              <w:rPr>
                <w:lang w:val="en-GB"/>
              </w:rPr>
            </w:pPr>
          </w:p>
        </w:tc>
      </w:tr>
      <w:tr w:rsidR="00C80526" w:rsidRPr="00141454" w:rsidTr="009E5D15">
        <w:tc>
          <w:tcPr>
            <w:tcW w:w="6518" w:type="dxa"/>
            <w:gridSpan w:val="2"/>
          </w:tcPr>
          <w:p w:rsidR="00C80526" w:rsidRDefault="00C80526" w:rsidP="009E5D15">
            <w:pPr>
              <w:spacing w:after="0" w:line="240" w:lineRule="auto"/>
              <w:rPr>
                <w:bCs/>
                <w:iCs/>
                <w:lang w:val="en-US"/>
              </w:rPr>
            </w:pPr>
            <w:r w:rsidRPr="009E5D15">
              <w:rPr>
                <w:b/>
                <w:i/>
                <w:lang w:val="en-US"/>
              </w:rPr>
              <w:t>Analysis:</w:t>
            </w:r>
            <w:r>
              <w:rPr>
                <w:bCs/>
                <w:iCs/>
                <w:lang w:val="en-US"/>
              </w:rPr>
              <w:t xml:space="preserve"> the use of questions and exclamations attracts the reader attention.</w:t>
            </w:r>
          </w:p>
          <w:p w:rsidR="00C80526" w:rsidRPr="00311364" w:rsidRDefault="00C80526" w:rsidP="009E5D15">
            <w:pPr>
              <w:spacing w:after="0" w:line="240" w:lineRule="auto"/>
              <w:rPr>
                <w:bCs/>
                <w:iCs/>
                <w:lang w:val="en-US"/>
              </w:rPr>
            </w:pPr>
            <w:r>
              <w:rPr>
                <w:bCs/>
                <w:iCs/>
                <w:lang w:val="en-US"/>
              </w:rPr>
              <w:t xml:space="preserve">The tone is indignant, but not aggressive. Changez explains his reasons to the other with a tone of superiority. </w:t>
            </w:r>
          </w:p>
        </w:tc>
        <w:tc>
          <w:tcPr>
            <w:tcW w:w="3260" w:type="dxa"/>
            <w:vMerge/>
          </w:tcPr>
          <w:p w:rsidR="00C80526" w:rsidRPr="00311364" w:rsidRDefault="00C80526" w:rsidP="009E5D15">
            <w:pPr>
              <w:spacing w:after="0" w:line="240" w:lineRule="auto"/>
              <w:rPr>
                <w:lang w:val="en-GB"/>
              </w:rPr>
            </w:pPr>
          </w:p>
        </w:tc>
      </w:tr>
      <w:tr w:rsidR="00C80526" w:rsidRPr="00141454" w:rsidTr="009E5D15">
        <w:tc>
          <w:tcPr>
            <w:tcW w:w="6518" w:type="dxa"/>
            <w:gridSpan w:val="2"/>
          </w:tcPr>
          <w:p w:rsidR="00C80526" w:rsidRPr="009E5D15" w:rsidRDefault="00C80526" w:rsidP="009E5D15">
            <w:pPr>
              <w:spacing w:after="0" w:line="240" w:lineRule="auto"/>
              <w:rPr>
                <w:lang w:val="en-US"/>
              </w:rPr>
            </w:pPr>
            <w:r w:rsidRPr="009E5D15">
              <w:rPr>
                <w:b/>
                <w:i/>
                <w:lang w:val="en-US"/>
              </w:rPr>
              <w:t>Possible conclusion:</w:t>
            </w:r>
            <w:r>
              <w:rPr>
                <w:b/>
                <w:i/>
                <w:lang w:val="en-US"/>
              </w:rPr>
              <w:t xml:space="preserve"> </w:t>
            </w:r>
            <w:r w:rsidRPr="00311364">
              <w:rPr>
                <w:bCs/>
                <w:iCs/>
                <w:lang w:val="en-US"/>
              </w:rPr>
              <w:t>it gives the follow message: if you can suspect the other, the other can suspect you; therefore prejudices are</w:t>
            </w:r>
            <w:r>
              <w:rPr>
                <w:bCs/>
                <w:iCs/>
                <w:lang w:val="en-US"/>
              </w:rPr>
              <w:t xml:space="preserve"> </w:t>
            </w:r>
            <w:r w:rsidR="003A1909">
              <w:rPr>
                <w:bCs/>
                <w:iCs/>
                <w:lang w:val="en-US"/>
              </w:rPr>
              <w:t xml:space="preserve">a </w:t>
            </w:r>
            <w:r>
              <w:rPr>
                <w:bCs/>
                <w:iCs/>
                <w:lang w:val="en-US"/>
              </w:rPr>
              <w:t>lack</w:t>
            </w:r>
            <w:r w:rsidRPr="00311364">
              <w:rPr>
                <w:bCs/>
                <w:iCs/>
                <w:lang w:val="en-US"/>
              </w:rPr>
              <w:t xml:space="preserve"> of respect</w:t>
            </w:r>
            <w:r w:rsidR="003A1909">
              <w:rPr>
                <w:bCs/>
                <w:iCs/>
                <w:lang w:val="en-US"/>
              </w:rPr>
              <w:t>.</w:t>
            </w:r>
          </w:p>
        </w:tc>
        <w:tc>
          <w:tcPr>
            <w:tcW w:w="3260" w:type="dxa"/>
            <w:vMerge/>
          </w:tcPr>
          <w:p w:rsidR="00C80526" w:rsidRPr="00311364" w:rsidRDefault="00C80526" w:rsidP="009E5D15">
            <w:pPr>
              <w:spacing w:after="0" w:line="240" w:lineRule="auto"/>
              <w:rPr>
                <w:lang w:val="en-GB"/>
              </w:rPr>
            </w:pPr>
          </w:p>
        </w:tc>
      </w:tr>
      <w:tr w:rsidR="00C80526" w:rsidRPr="00141454" w:rsidTr="009E5D15">
        <w:tc>
          <w:tcPr>
            <w:tcW w:w="3259" w:type="dxa"/>
          </w:tcPr>
          <w:p w:rsidR="00C80526" w:rsidRPr="009E5D15" w:rsidRDefault="00C80526" w:rsidP="009E5D15">
            <w:pPr>
              <w:spacing w:after="0" w:line="240" w:lineRule="auto"/>
              <w:rPr>
                <w:i/>
                <w:sz w:val="20"/>
                <w:szCs w:val="20"/>
                <w:lang w:val="en-US"/>
              </w:rPr>
            </w:pPr>
            <w:r w:rsidRPr="009E5D15">
              <w:rPr>
                <w:i/>
                <w:sz w:val="20"/>
                <w:szCs w:val="20"/>
                <w:lang w:val="en-US"/>
              </w:rPr>
              <w:t>“A common strand appeared to unit these conflicts, and that was the advancement of a small coterie’s concept of American interests in the guise of the fight against terrorism, which was defined to refer only to the organize and politically motivated killing of civilians by killers not wearing the uniforms of soldiers. ”</w:t>
            </w:r>
          </w:p>
        </w:tc>
        <w:tc>
          <w:tcPr>
            <w:tcW w:w="3259" w:type="dxa"/>
          </w:tcPr>
          <w:p w:rsidR="00C80526" w:rsidRPr="003A1909" w:rsidRDefault="00C80526" w:rsidP="009E5D15">
            <w:pPr>
              <w:spacing w:after="0" w:line="240" w:lineRule="auto"/>
              <w:rPr>
                <w:color w:val="0F243E" w:themeColor="text2" w:themeShade="80"/>
              </w:rPr>
            </w:pPr>
            <w:r w:rsidRPr="003A1909">
              <w:rPr>
                <w:color w:val="0F243E" w:themeColor="text2" w:themeShade="80"/>
              </w:rPr>
              <w:t>“</w:t>
            </w:r>
            <w:r w:rsidRPr="003A1909">
              <w:rPr>
                <w:i/>
                <w:color w:val="0F243E" w:themeColor="text2" w:themeShade="80"/>
                <w:sz w:val="20"/>
                <w:szCs w:val="20"/>
              </w:rPr>
              <w:t>Sembrava che un filo rosso unisse questi conflitti, e cioè il mascheramento degli interessi di una piccolo consorteria di suoi comp</w:t>
            </w:r>
            <w:r w:rsidR="00483724" w:rsidRPr="003A1909">
              <w:rPr>
                <w:i/>
                <w:color w:val="0F243E" w:themeColor="text2" w:themeShade="80"/>
                <w:sz w:val="20"/>
                <w:szCs w:val="20"/>
              </w:rPr>
              <w:t>atrioti sotto le spoglie della g</w:t>
            </w:r>
            <w:r w:rsidRPr="003A1909">
              <w:rPr>
                <w:i/>
                <w:color w:val="0F243E" w:themeColor="text2" w:themeShade="80"/>
                <w:sz w:val="20"/>
                <w:szCs w:val="20"/>
              </w:rPr>
              <w:t>uerra al terrorismo, definite come uccisione organizzata e politicamente motivate di civili da parte di assassini non in uniforme.”</w:t>
            </w:r>
          </w:p>
        </w:tc>
        <w:tc>
          <w:tcPr>
            <w:tcW w:w="3260" w:type="dxa"/>
            <w:vMerge w:val="restart"/>
          </w:tcPr>
          <w:p w:rsidR="00C80526" w:rsidRPr="00483724" w:rsidRDefault="00483724" w:rsidP="009E5D15">
            <w:pPr>
              <w:spacing w:after="0" w:line="240" w:lineRule="auto"/>
              <w:rPr>
                <w:i/>
                <w:sz w:val="20"/>
                <w:szCs w:val="20"/>
                <w:lang w:val="en-US"/>
              </w:rPr>
            </w:pPr>
            <w:r>
              <w:rPr>
                <w:lang w:val="en-US"/>
              </w:rPr>
              <w:t>In the I</w:t>
            </w:r>
            <w:r w:rsidRPr="00483724">
              <w:rPr>
                <w:lang w:val="en-US"/>
              </w:rPr>
              <w:t>talian version there is the metaphor of “</w:t>
            </w:r>
            <w:r w:rsidRPr="00483724">
              <w:rPr>
                <w:i/>
                <w:sz w:val="20"/>
                <w:szCs w:val="20"/>
                <w:lang w:val="en-US"/>
              </w:rPr>
              <w:t>il filo rosso”.</w:t>
            </w:r>
          </w:p>
          <w:p w:rsidR="00483724" w:rsidRPr="00483724" w:rsidRDefault="00483724" w:rsidP="009E5D15">
            <w:pPr>
              <w:spacing w:after="0" w:line="240" w:lineRule="auto"/>
              <w:rPr>
                <w:lang w:val="en-US"/>
              </w:rPr>
            </w:pPr>
            <w:r w:rsidRPr="00483724">
              <w:rPr>
                <w:szCs w:val="20"/>
                <w:lang w:val="en-US"/>
              </w:rPr>
              <w:t>The use of</w:t>
            </w:r>
            <w:r w:rsidRPr="00483724">
              <w:rPr>
                <w:i/>
                <w:szCs w:val="20"/>
                <w:lang w:val="en-US"/>
              </w:rPr>
              <w:t xml:space="preserve"> </w:t>
            </w:r>
            <w:r w:rsidRPr="00483724">
              <w:rPr>
                <w:i/>
                <w:sz w:val="20"/>
                <w:szCs w:val="20"/>
                <w:lang w:val="en-US"/>
              </w:rPr>
              <w:t>“di suoi compatrioti”</w:t>
            </w:r>
            <w:r>
              <w:rPr>
                <w:lang w:val="en-US"/>
              </w:rPr>
              <w:t xml:space="preserve"> makes the quotation sounds more accusative. </w:t>
            </w:r>
          </w:p>
        </w:tc>
      </w:tr>
      <w:tr w:rsidR="00C80526" w:rsidRPr="00141454" w:rsidTr="009E5D15">
        <w:tc>
          <w:tcPr>
            <w:tcW w:w="6518" w:type="dxa"/>
            <w:gridSpan w:val="2"/>
          </w:tcPr>
          <w:p w:rsidR="00C80526" w:rsidRPr="00483724" w:rsidRDefault="00C80526" w:rsidP="00483724">
            <w:pPr>
              <w:spacing w:after="0" w:line="240" w:lineRule="auto"/>
              <w:rPr>
                <w:lang w:val="en-US"/>
              </w:rPr>
            </w:pPr>
            <w:r w:rsidRPr="009E5D15">
              <w:rPr>
                <w:b/>
                <w:i/>
                <w:lang w:val="en-US"/>
              </w:rPr>
              <w:t>Reason for choice:</w:t>
            </w:r>
            <w:r w:rsidR="00483724">
              <w:rPr>
                <w:b/>
                <w:i/>
                <w:lang w:val="en-US"/>
              </w:rPr>
              <w:t xml:space="preserve"> </w:t>
            </w:r>
            <w:r w:rsidR="00483724">
              <w:rPr>
                <w:lang w:val="en-US"/>
              </w:rPr>
              <w:t xml:space="preserve">it </w:t>
            </w:r>
            <w:r w:rsidR="00483724" w:rsidRPr="003A1909">
              <w:rPr>
                <w:color w:val="C00000"/>
                <w:lang w:val="en-US"/>
              </w:rPr>
              <w:t xml:space="preserve">denounces the </w:t>
            </w:r>
            <w:r w:rsidR="00F11C59" w:rsidRPr="003A1909">
              <w:rPr>
                <w:color w:val="C00000"/>
                <w:lang w:val="en-US"/>
              </w:rPr>
              <w:t>interest of multinationals</w:t>
            </w:r>
            <w:r w:rsidR="00483724">
              <w:rPr>
                <w:lang w:val="en-US"/>
              </w:rPr>
              <w:t xml:space="preserve"> that encourages wars.</w:t>
            </w:r>
          </w:p>
        </w:tc>
        <w:tc>
          <w:tcPr>
            <w:tcW w:w="3260" w:type="dxa"/>
            <w:vMerge/>
          </w:tcPr>
          <w:p w:rsidR="00C80526" w:rsidRPr="009E5D15" w:rsidRDefault="00C80526" w:rsidP="009E5D15">
            <w:pPr>
              <w:spacing w:after="0" w:line="240" w:lineRule="auto"/>
              <w:rPr>
                <w:lang w:val="en-US"/>
              </w:rPr>
            </w:pPr>
          </w:p>
        </w:tc>
      </w:tr>
      <w:tr w:rsidR="00C80526" w:rsidRPr="00141454" w:rsidTr="009E5D15">
        <w:tc>
          <w:tcPr>
            <w:tcW w:w="6518" w:type="dxa"/>
            <w:gridSpan w:val="2"/>
          </w:tcPr>
          <w:p w:rsidR="00C80526" w:rsidRPr="00DB5892" w:rsidRDefault="00C80526" w:rsidP="00DB5892">
            <w:pPr>
              <w:spacing w:after="0" w:line="240" w:lineRule="auto"/>
              <w:rPr>
                <w:lang w:val="en-US"/>
              </w:rPr>
            </w:pPr>
            <w:r w:rsidRPr="009E5D15">
              <w:rPr>
                <w:b/>
                <w:i/>
                <w:lang w:val="en-US"/>
              </w:rPr>
              <w:t>Analysis:</w:t>
            </w:r>
            <w:r w:rsidR="00483724">
              <w:rPr>
                <w:b/>
                <w:i/>
                <w:lang w:val="en-US"/>
              </w:rPr>
              <w:t xml:space="preserve"> </w:t>
            </w:r>
            <w:r w:rsidR="00DB5892" w:rsidRPr="00DB5892">
              <w:rPr>
                <w:lang w:val="en-US"/>
              </w:rPr>
              <w:t>the introduction attracts the reader attention to the most important part of the sentence:</w:t>
            </w:r>
            <w:r w:rsidR="00DB5892" w:rsidRPr="009E5D15">
              <w:rPr>
                <w:i/>
                <w:sz w:val="20"/>
                <w:szCs w:val="20"/>
                <w:lang w:val="en-US"/>
              </w:rPr>
              <w:t xml:space="preserve"> </w:t>
            </w:r>
            <w:r w:rsidR="00DB5892">
              <w:rPr>
                <w:i/>
                <w:sz w:val="20"/>
                <w:szCs w:val="20"/>
                <w:lang w:val="en-US"/>
              </w:rPr>
              <w:t>“</w:t>
            </w:r>
            <w:r w:rsidR="00DB5892" w:rsidRPr="009E5D15">
              <w:rPr>
                <w:i/>
                <w:sz w:val="20"/>
                <w:szCs w:val="20"/>
                <w:lang w:val="en-US"/>
              </w:rPr>
              <w:t>the advancement of a small coterie’s concept of American interests in the guise of the fight against terrorism</w:t>
            </w:r>
            <w:r w:rsidR="00DB5892">
              <w:rPr>
                <w:i/>
                <w:sz w:val="20"/>
                <w:szCs w:val="20"/>
                <w:lang w:val="en-US"/>
              </w:rPr>
              <w:t>”. T</w:t>
            </w:r>
            <w:r w:rsidR="00DB5892">
              <w:rPr>
                <w:lang w:val="en-US"/>
              </w:rPr>
              <w:t xml:space="preserve">he definition of terrorist is a denounce to the Americans soldiers.  </w:t>
            </w:r>
          </w:p>
        </w:tc>
        <w:tc>
          <w:tcPr>
            <w:tcW w:w="3260" w:type="dxa"/>
            <w:vMerge/>
          </w:tcPr>
          <w:p w:rsidR="00C80526" w:rsidRPr="009E5D15" w:rsidRDefault="00C80526" w:rsidP="009E5D15">
            <w:pPr>
              <w:spacing w:after="0" w:line="240" w:lineRule="auto"/>
              <w:rPr>
                <w:lang w:val="en-US"/>
              </w:rPr>
            </w:pPr>
          </w:p>
        </w:tc>
      </w:tr>
      <w:tr w:rsidR="00C80526" w:rsidRPr="00141454" w:rsidTr="009E5D15">
        <w:tc>
          <w:tcPr>
            <w:tcW w:w="6518" w:type="dxa"/>
            <w:gridSpan w:val="2"/>
          </w:tcPr>
          <w:p w:rsidR="00C80526" w:rsidRPr="00DB5892" w:rsidRDefault="00C80526" w:rsidP="009E5D15">
            <w:pPr>
              <w:spacing w:after="0" w:line="240" w:lineRule="auto"/>
              <w:rPr>
                <w:lang w:val="en-US"/>
              </w:rPr>
            </w:pPr>
            <w:r w:rsidRPr="009E5D15">
              <w:rPr>
                <w:b/>
                <w:i/>
                <w:lang w:val="en-US"/>
              </w:rPr>
              <w:t>Possible conclusion:</w:t>
            </w:r>
            <w:r w:rsidR="00DB5892">
              <w:rPr>
                <w:b/>
                <w:i/>
                <w:lang w:val="en-US"/>
              </w:rPr>
              <w:t xml:space="preserve"> </w:t>
            </w:r>
            <w:r w:rsidR="00DB5892" w:rsidRPr="00DB5892">
              <w:rPr>
                <w:lang w:val="en-US"/>
              </w:rPr>
              <w:t>it denounce</w:t>
            </w:r>
            <w:r w:rsidR="00DB5892">
              <w:rPr>
                <w:lang w:val="en-US"/>
              </w:rPr>
              <w:t>s</w:t>
            </w:r>
            <w:r w:rsidR="00483724">
              <w:rPr>
                <w:b/>
                <w:i/>
                <w:lang w:val="en-US"/>
              </w:rPr>
              <w:t xml:space="preserve"> </w:t>
            </w:r>
            <w:r w:rsidR="00DB5892">
              <w:rPr>
                <w:lang w:val="en-US"/>
              </w:rPr>
              <w:t xml:space="preserve">the war against terrorism: it is caused by the interests of multinationals. It also underlines that terrorists are not so different from </w:t>
            </w:r>
            <w:r w:rsidR="00D04834">
              <w:rPr>
                <w:lang w:val="en-US"/>
              </w:rPr>
              <w:t>American soldiers.</w:t>
            </w:r>
          </w:p>
        </w:tc>
        <w:tc>
          <w:tcPr>
            <w:tcW w:w="3260" w:type="dxa"/>
            <w:vMerge/>
          </w:tcPr>
          <w:p w:rsidR="00C80526" w:rsidRPr="009E5D15" w:rsidRDefault="00C80526" w:rsidP="009E5D15">
            <w:pPr>
              <w:spacing w:after="0" w:line="240" w:lineRule="auto"/>
              <w:rPr>
                <w:lang w:val="en-US"/>
              </w:rPr>
            </w:pPr>
          </w:p>
        </w:tc>
      </w:tr>
      <w:tr w:rsidR="00C80526" w:rsidRPr="00141454" w:rsidTr="009E5D15">
        <w:tc>
          <w:tcPr>
            <w:tcW w:w="3259" w:type="dxa"/>
          </w:tcPr>
          <w:p w:rsidR="00C80526" w:rsidRPr="009E5D15" w:rsidRDefault="00C80526" w:rsidP="009E5D15">
            <w:pPr>
              <w:spacing w:after="0" w:line="240" w:lineRule="auto"/>
              <w:rPr>
                <w:lang w:val="en-US"/>
              </w:rPr>
            </w:pPr>
            <w:r w:rsidRPr="009E5D15">
              <w:rPr>
                <w:lang w:val="en-US"/>
              </w:rPr>
              <w:t>“It seems an obvious thing to say, but you should not imagine that we Pakistanis are all potential terrorists, just as we should not imagine that you Americans are all undercover assassins.”</w:t>
            </w:r>
          </w:p>
        </w:tc>
        <w:tc>
          <w:tcPr>
            <w:tcW w:w="3259" w:type="dxa"/>
          </w:tcPr>
          <w:p w:rsidR="00C80526" w:rsidRPr="003A1909" w:rsidRDefault="00C80526" w:rsidP="009E5D15">
            <w:pPr>
              <w:spacing w:after="0" w:line="240" w:lineRule="auto"/>
              <w:rPr>
                <w:color w:val="0F243E" w:themeColor="text2" w:themeShade="80"/>
              </w:rPr>
            </w:pPr>
            <w:r w:rsidRPr="003A1909">
              <w:rPr>
                <w:color w:val="0F243E" w:themeColor="text2" w:themeShade="80"/>
              </w:rPr>
              <w:t>“</w:t>
            </w:r>
            <w:r w:rsidRPr="003A1909">
              <w:rPr>
                <w:i/>
                <w:color w:val="0F243E" w:themeColor="text2" w:themeShade="80"/>
                <w:sz w:val="20"/>
                <w:szCs w:val="20"/>
              </w:rPr>
              <w:t>Sembra una cosa ovvia da dire, ma non deve pensare che noi pakistani siamo tutti potenziali terroristi, così come noi non dobbiamo immaginare che voi americani siate tutti assassini sotto copertura.</w:t>
            </w:r>
            <w:r w:rsidRPr="003A1909">
              <w:rPr>
                <w:color w:val="0F243E" w:themeColor="text2" w:themeShade="80"/>
              </w:rPr>
              <w:t>”</w:t>
            </w:r>
          </w:p>
        </w:tc>
        <w:tc>
          <w:tcPr>
            <w:tcW w:w="3260" w:type="dxa"/>
            <w:vMerge w:val="restart"/>
          </w:tcPr>
          <w:p w:rsidR="00C80526" w:rsidRPr="00F11C59" w:rsidRDefault="00F11C59" w:rsidP="009E5D15">
            <w:pPr>
              <w:spacing w:after="0" w:line="240" w:lineRule="auto"/>
              <w:rPr>
                <w:lang w:val="en-US"/>
              </w:rPr>
            </w:pPr>
            <w:r>
              <w:rPr>
                <w:lang w:val="en-GB"/>
              </w:rPr>
              <w:t>The Italian version is more formal but there are not other substantial differences between the two versions.</w:t>
            </w:r>
          </w:p>
        </w:tc>
      </w:tr>
      <w:tr w:rsidR="00C80526" w:rsidRPr="00141454" w:rsidTr="009E5D15">
        <w:tc>
          <w:tcPr>
            <w:tcW w:w="6518" w:type="dxa"/>
            <w:gridSpan w:val="2"/>
          </w:tcPr>
          <w:p w:rsidR="00C80526" w:rsidRPr="009E5D15" w:rsidRDefault="00C80526" w:rsidP="009E5D15">
            <w:pPr>
              <w:spacing w:after="0" w:line="240" w:lineRule="auto"/>
              <w:rPr>
                <w:lang w:val="en-US"/>
              </w:rPr>
            </w:pPr>
            <w:r w:rsidRPr="009E5D15">
              <w:rPr>
                <w:b/>
                <w:i/>
                <w:lang w:val="en-US"/>
              </w:rPr>
              <w:t>Reason for choice:</w:t>
            </w:r>
            <w:r w:rsidR="00F11C59">
              <w:rPr>
                <w:b/>
                <w:i/>
                <w:lang w:val="en-US"/>
              </w:rPr>
              <w:t xml:space="preserve"> </w:t>
            </w:r>
            <w:r w:rsidR="00F11C59">
              <w:rPr>
                <w:lang w:val="en-US"/>
              </w:rPr>
              <w:t xml:space="preserve">it denies </w:t>
            </w:r>
            <w:r w:rsidR="00F11C59" w:rsidRPr="003A1909">
              <w:rPr>
                <w:color w:val="C00000"/>
                <w:lang w:val="en-US"/>
              </w:rPr>
              <w:t>prejudices</w:t>
            </w:r>
            <w:r w:rsidR="00F11C59" w:rsidRPr="00F11C59">
              <w:rPr>
                <w:lang w:val="en-US"/>
              </w:rPr>
              <w:t>.</w:t>
            </w:r>
          </w:p>
        </w:tc>
        <w:tc>
          <w:tcPr>
            <w:tcW w:w="3260" w:type="dxa"/>
            <w:vMerge/>
          </w:tcPr>
          <w:p w:rsidR="00C80526" w:rsidRPr="009E5D15" w:rsidRDefault="00C80526" w:rsidP="009E5D15">
            <w:pPr>
              <w:spacing w:after="0" w:line="240" w:lineRule="auto"/>
              <w:rPr>
                <w:lang w:val="en-US"/>
              </w:rPr>
            </w:pPr>
          </w:p>
        </w:tc>
      </w:tr>
      <w:tr w:rsidR="00C80526" w:rsidRPr="00141454" w:rsidTr="009E5D15">
        <w:tc>
          <w:tcPr>
            <w:tcW w:w="6518" w:type="dxa"/>
            <w:gridSpan w:val="2"/>
          </w:tcPr>
          <w:p w:rsidR="00C80526" w:rsidRPr="00F11C59" w:rsidRDefault="00C80526" w:rsidP="009E5D15">
            <w:pPr>
              <w:spacing w:after="0" w:line="240" w:lineRule="auto"/>
              <w:rPr>
                <w:lang w:val="en-US"/>
              </w:rPr>
            </w:pPr>
            <w:r w:rsidRPr="009E5D15">
              <w:rPr>
                <w:b/>
                <w:i/>
                <w:lang w:val="en-US"/>
              </w:rPr>
              <w:t>Analysis:</w:t>
            </w:r>
            <w:r w:rsidR="00F11C59">
              <w:rPr>
                <w:b/>
                <w:i/>
                <w:lang w:val="en-US"/>
              </w:rPr>
              <w:t xml:space="preserve"> </w:t>
            </w:r>
            <w:r w:rsidR="00F11C59">
              <w:rPr>
                <w:lang w:val="en-US"/>
              </w:rPr>
              <w:t xml:space="preserve">the repetition of the structure </w:t>
            </w:r>
            <w:r w:rsidR="003A1909" w:rsidRPr="00F11C59">
              <w:rPr>
                <w:i/>
                <w:lang w:val="en-US"/>
              </w:rPr>
              <w:t>“you</w:t>
            </w:r>
            <w:r w:rsidR="00F11C59" w:rsidRPr="00F11C59">
              <w:rPr>
                <w:i/>
                <w:lang w:val="en-US"/>
              </w:rPr>
              <w:t xml:space="preserve"> should not imagine</w:t>
            </w:r>
            <w:r w:rsidR="00F11C59">
              <w:rPr>
                <w:lang w:val="en-US"/>
              </w:rPr>
              <w:t xml:space="preserve">” </w:t>
            </w:r>
            <w:r w:rsidR="00762915">
              <w:rPr>
                <w:lang w:val="en-US"/>
              </w:rPr>
              <w:t>gives the idea of a symmetrical correspondence between the two sentences.</w:t>
            </w:r>
          </w:p>
        </w:tc>
        <w:tc>
          <w:tcPr>
            <w:tcW w:w="3260" w:type="dxa"/>
            <w:vMerge/>
          </w:tcPr>
          <w:p w:rsidR="00C80526" w:rsidRPr="009E5D15" w:rsidRDefault="00C80526" w:rsidP="009E5D15">
            <w:pPr>
              <w:spacing w:after="0" w:line="240" w:lineRule="auto"/>
              <w:rPr>
                <w:lang w:val="en-US"/>
              </w:rPr>
            </w:pPr>
          </w:p>
        </w:tc>
      </w:tr>
      <w:tr w:rsidR="00C80526" w:rsidRPr="00141454" w:rsidTr="009E5D15">
        <w:tc>
          <w:tcPr>
            <w:tcW w:w="6518" w:type="dxa"/>
            <w:gridSpan w:val="2"/>
          </w:tcPr>
          <w:p w:rsidR="00C80526" w:rsidRPr="00F11C59" w:rsidRDefault="00C80526" w:rsidP="009E5D15">
            <w:pPr>
              <w:spacing w:after="0" w:line="240" w:lineRule="auto"/>
              <w:rPr>
                <w:lang w:val="en-US"/>
              </w:rPr>
            </w:pPr>
            <w:r w:rsidRPr="009E5D15">
              <w:rPr>
                <w:b/>
                <w:i/>
                <w:lang w:val="en-US"/>
              </w:rPr>
              <w:t>Possible conclusion:</w:t>
            </w:r>
            <w:r w:rsidR="00F11C59">
              <w:rPr>
                <w:lang w:val="en-US"/>
              </w:rPr>
              <w:t xml:space="preserve"> </w:t>
            </w:r>
            <w:r w:rsidR="00762915">
              <w:rPr>
                <w:lang w:val="en-US"/>
              </w:rPr>
              <w:t xml:space="preserve">when you </w:t>
            </w:r>
            <w:r w:rsidR="003A1909">
              <w:rPr>
                <w:lang w:val="en-US"/>
              </w:rPr>
              <w:t>face</w:t>
            </w:r>
            <w:r w:rsidR="00762915">
              <w:rPr>
                <w:lang w:val="en-US"/>
              </w:rPr>
              <w:t xml:space="preserve"> another culture you must deny prejudice.</w:t>
            </w:r>
          </w:p>
        </w:tc>
        <w:tc>
          <w:tcPr>
            <w:tcW w:w="3260" w:type="dxa"/>
            <w:vMerge/>
          </w:tcPr>
          <w:p w:rsidR="00C80526" w:rsidRPr="009E5D15" w:rsidRDefault="00C80526" w:rsidP="009E5D15">
            <w:pPr>
              <w:spacing w:after="0" w:line="240" w:lineRule="auto"/>
              <w:rPr>
                <w:lang w:val="en-US"/>
              </w:rPr>
            </w:pPr>
          </w:p>
        </w:tc>
      </w:tr>
    </w:tbl>
    <w:p w:rsidR="00C80526" w:rsidRDefault="00C80526" w:rsidP="001F19D0">
      <w:pPr>
        <w:rPr>
          <w:b/>
          <w:i/>
          <w:sz w:val="28"/>
          <w:lang w:val="en-US"/>
        </w:rPr>
      </w:pPr>
    </w:p>
    <w:p w:rsidR="00C80526" w:rsidRPr="00762915" w:rsidRDefault="00C80526">
      <w:pPr>
        <w:rPr>
          <w:lang w:val="en-US"/>
        </w:rPr>
      </w:pPr>
    </w:p>
    <w:sectPr w:rsidR="00C80526" w:rsidRPr="00762915" w:rsidSect="005C49F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compat/>
  <w:rsids>
    <w:rsidRoot w:val="001F19D0"/>
    <w:rsid w:val="00036821"/>
    <w:rsid w:val="00141454"/>
    <w:rsid w:val="001F19D0"/>
    <w:rsid w:val="00311364"/>
    <w:rsid w:val="00377443"/>
    <w:rsid w:val="003A1909"/>
    <w:rsid w:val="003E5B82"/>
    <w:rsid w:val="00434A44"/>
    <w:rsid w:val="00483724"/>
    <w:rsid w:val="004D7702"/>
    <w:rsid w:val="005C49FE"/>
    <w:rsid w:val="006755A8"/>
    <w:rsid w:val="00762915"/>
    <w:rsid w:val="00787334"/>
    <w:rsid w:val="007E2298"/>
    <w:rsid w:val="0088285D"/>
    <w:rsid w:val="009E5D15"/>
    <w:rsid w:val="00A70506"/>
    <w:rsid w:val="00B335DE"/>
    <w:rsid w:val="00C80526"/>
    <w:rsid w:val="00D04834"/>
    <w:rsid w:val="00D23A33"/>
    <w:rsid w:val="00D5101C"/>
    <w:rsid w:val="00DB5892"/>
    <w:rsid w:val="00DF0D13"/>
    <w:rsid w:val="00F11C59"/>
    <w:rsid w:val="00F16F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19D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1F19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9862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900</Words>
  <Characters>5134</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Alice</cp:lastModifiedBy>
  <cp:revision>2</cp:revision>
  <dcterms:created xsi:type="dcterms:W3CDTF">2014-11-03T14:16:00Z</dcterms:created>
  <dcterms:modified xsi:type="dcterms:W3CDTF">2014-11-03T14:16:00Z</dcterms:modified>
</cp:coreProperties>
</file>