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F4" w:rsidRDefault="00E927C5" w:rsidP="00E927C5">
      <w:r>
        <w:t>Metodologia di lavoro:</w:t>
      </w:r>
    </w:p>
    <w:p w:rsidR="00FE09C0" w:rsidRDefault="00E927C5" w:rsidP="00FE09C0">
      <w:pPr>
        <w:pStyle w:val="Paragrafoelenco"/>
        <w:numPr>
          <w:ilvl w:val="0"/>
          <w:numId w:val="1"/>
        </w:numPr>
      </w:pPr>
      <w:r>
        <w:t>Trascrizione in formato digitale delle citazioni (in lingua inglese e lingua italiana) ritenute significative, utilizzando il formato che è già stato mostrato;</w:t>
      </w:r>
    </w:p>
    <w:p w:rsidR="00FE09C0" w:rsidRDefault="00E927C5" w:rsidP="00FE09C0">
      <w:pPr>
        <w:pStyle w:val="Paragrafoelenco"/>
        <w:numPr>
          <w:ilvl w:val="0"/>
          <w:numId w:val="1"/>
        </w:numPr>
      </w:pPr>
      <w:r>
        <w:t>Fornire la ragione per cui è stata selezionata quella specifica citazione con riferimento alle</w:t>
      </w:r>
      <w:r w:rsidR="00A756CA">
        <w:t xml:space="preserve"> tematiche oggetto di analisi, ricerca e studio</w:t>
      </w:r>
    </w:p>
    <w:p w:rsidR="00FE09C0" w:rsidRDefault="00E927C5" w:rsidP="00FE09C0">
      <w:pPr>
        <w:pStyle w:val="Paragrafoelenco"/>
        <w:numPr>
          <w:ilvl w:val="0"/>
          <w:numId w:val="1"/>
        </w:numPr>
      </w:pPr>
      <w:r>
        <w:t xml:space="preserve">Procedura: </w:t>
      </w:r>
    </w:p>
    <w:p w:rsidR="00E927C5" w:rsidRDefault="00FE09C0" w:rsidP="00FE09C0">
      <w:pPr>
        <w:pStyle w:val="Paragrafoelenco"/>
        <w:numPr>
          <w:ilvl w:val="0"/>
          <w:numId w:val="6"/>
        </w:numPr>
        <w:spacing w:after="0"/>
      </w:pPr>
      <w:r>
        <w:t>lettura e comprensione globale delle citazioni in entrambe le lingue,</w:t>
      </w:r>
    </w:p>
    <w:p w:rsidR="00E927C5" w:rsidRDefault="00E927C5" w:rsidP="004804AF">
      <w:pPr>
        <w:pStyle w:val="Paragrafoelenco"/>
        <w:numPr>
          <w:ilvl w:val="0"/>
          <w:numId w:val="6"/>
        </w:numPr>
        <w:spacing w:after="0"/>
      </w:pPr>
      <w:r>
        <w:t xml:space="preserve">analisi delle scelte lessicali </w:t>
      </w:r>
      <w:r w:rsidR="004804AF">
        <w:t xml:space="preserve">e linguistiche </w:t>
      </w:r>
      <w:r>
        <w:t>in entrambe le lingue</w:t>
      </w:r>
      <w:r w:rsidR="004804AF">
        <w:t xml:space="preserve">: </w:t>
      </w:r>
      <w:r>
        <w:t xml:space="preserve">analisi delle forme </w:t>
      </w:r>
      <w:r w:rsidR="004804AF">
        <w:t xml:space="preserve"> fonologiche </w:t>
      </w:r>
      <w:r>
        <w:t>grammaticali e/o lessicali utilizzate nelle due lingue</w:t>
      </w:r>
    </w:p>
    <w:p w:rsidR="00E927C5" w:rsidRDefault="00E927C5" w:rsidP="00FE09C0">
      <w:pPr>
        <w:pStyle w:val="Paragrafoelenco"/>
        <w:numPr>
          <w:ilvl w:val="0"/>
          <w:numId w:val="6"/>
        </w:numPr>
        <w:spacing w:after="0"/>
      </w:pPr>
      <w:r>
        <w:t>verificare se è stata mantenuta la stessa struttura sintattica e in caso negativo fornire un’ipotesi di motivazione,</w:t>
      </w:r>
    </w:p>
    <w:p w:rsidR="00E927C5" w:rsidRDefault="00E927C5" w:rsidP="00FE09C0">
      <w:pPr>
        <w:pStyle w:val="Paragrafoelenco"/>
        <w:numPr>
          <w:ilvl w:val="0"/>
          <w:numId w:val="6"/>
        </w:numPr>
        <w:spacing w:after="0"/>
      </w:pPr>
      <w:r>
        <w:t>prendere in esame l’effetto che la versione originale e la versione italiana producono.</w:t>
      </w:r>
    </w:p>
    <w:p w:rsidR="00E927C5" w:rsidRDefault="00E927C5" w:rsidP="00FE09C0">
      <w:pPr>
        <w:pStyle w:val="Paragrafoelenco"/>
        <w:numPr>
          <w:ilvl w:val="0"/>
          <w:numId w:val="6"/>
        </w:numPr>
        <w:spacing w:after="0"/>
      </w:pPr>
      <w:r>
        <w:t>ipotizzare una conclusione sulla base delle analisi effettuate</w:t>
      </w:r>
    </w:p>
    <w:p w:rsidR="00E927C5" w:rsidRDefault="00E927C5" w:rsidP="00FE09C0">
      <w:pPr>
        <w:pStyle w:val="Paragrafoelenco"/>
        <w:numPr>
          <w:ilvl w:val="0"/>
          <w:numId w:val="6"/>
        </w:numPr>
        <w:spacing w:after="0"/>
      </w:pPr>
      <w:r>
        <w:t>fornire una spiegazione delle somiglianze e/o diversità individuate</w:t>
      </w:r>
    </w:p>
    <w:p w:rsidR="00A756CA" w:rsidRDefault="00A756CA" w:rsidP="00A756CA">
      <w:pPr>
        <w:spacing w:after="0"/>
      </w:pPr>
      <w:r>
        <w:t>Esempio</w:t>
      </w:r>
      <w:r w:rsidR="009663A5">
        <w:t>: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A756CA" w:rsidTr="00A756CA">
        <w:tc>
          <w:tcPr>
            <w:tcW w:w="3259" w:type="dxa"/>
          </w:tcPr>
          <w:p w:rsidR="00A756CA" w:rsidRPr="00A756CA" w:rsidRDefault="00A756CA" w:rsidP="00A756CA">
            <w:pPr>
              <w:jc w:val="center"/>
              <w:rPr>
                <w:b/>
              </w:rPr>
            </w:pPr>
            <w:proofErr w:type="spellStart"/>
            <w:r w:rsidRPr="00A756CA">
              <w:rPr>
                <w:b/>
              </w:rPr>
              <w:t>Quotations</w:t>
            </w:r>
            <w:proofErr w:type="spellEnd"/>
          </w:p>
          <w:p w:rsidR="00A756CA" w:rsidRDefault="00A756CA" w:rsidP="00A756CA">
            <w:pPr>
              <w:jc w:val="center"/>
            </w:pPr>
            <w:proofErr w:type="spellStart"/>
            <w:r>
              <w:t>Original</w:t>
            </w:r>
            <w:proofErr w:type="spellEnd"/>
            <w:r>
              <w:t xml:space="preserve"> </w:t>
            </w:r>
            <w:proofErr w:type="spellStart"/>
            <w:r>
              <w:t>version</w:t>
            </w:r>
            <w:proofErr w:type="spellEnd"/>
          </w:p>
        </w:tc>
        <w:tc>
          <w:tcPr>
            <w:tcW w:w="3259" w:type="dxa"/>
          </w:tcPr>
          <w:p w:rsidR="00A756CA" w:rsidRPr="00A756CA" w:rsidRDefault="00A756CA" w:rsidP="00A756CA">
            <w:pPr>
              <w:jc w:val="center"/>
              <w:rPr>
                <w:b/>
                <w:color w:val="002060"/>
              </w:rPr>
            </w:pPr>
            <w:proofErr w:type="spellStart"/>
            <w:r w:rsidRPr="00A756CA">
              <w:rPr>
                <w:b/>
                <w:color w:val="002060"/>
              </w:rPr>
              <w:t>Quotations</w:t>
            </w:r>
            <w:proofErr w:type="spellEnd"/>
          </w:p>
          <w:p w:rsidR="00A756CA" w:rsidRPr="00A756CA" w:rsidRDefault="00A756CA" w:rsidP="00A756CA">
            <w:pPr>
              <w:jc w:val="center"/>
              <w:rPr>
                <w:i/>
              </w:rPr>
            </w:pPr>
            <w:proofErr w:type="spellStart"/>
            <w:r w:rsidRPr="00A756CA">
              <w:rPr>
                <w:i/>
                <w:color w:val="002060"/>
              </w:rPr>
              <w:t>Italian</w:t>
            </w:r>
            <w:proofErr w:type="spellEnd"/>
            <w:r w:rsidRPr="00A756CA">
              <w:rPr>
                <w:i/>
                <w:color w:val="002060"/>
              </w:rPr>
              <w:t xml:space="preserve"> </w:t>
            </w:r>
            <w:proofErr w:type="spellStart"/>
            <w:r w:rsidRPr="00A756CA">
              <w:rPr>
                <w:i/>
                <w:color w:val="002060"/>
              </w:rPr>
              <w:t>translation</w:t>
            </w:r>
            <w:proofErr w:type="spellEnd"/>
          </w:p>
        </w:tc>
        <w:tc>
          <w:tcPr>
            <w:tcW w:w="3260" w:type="dxa"/>
          </w:tcPr>
          <w:p w:rsidR="00A756CA" w:rsidRDefault="004804AF" w:rsidP="004804AF">
            <w:pPr>
              <w:jc w:val="center"/>
            </w:pPr>
            <w:r>
              <w:t xml:space="preserve">Comparative </w:t>
            </w:r>
            <w:proofErr w:type="spellStart"/>
            <w:r>
              <w:t>analysis</w:t>
            </w:r>
            <w:proofErr w:type="spellEnd"/>
          </w:p>
        </w:tc>
      </w:tr>
      <w:tr w:rsidR="002302CF" w:rsidRPr="002302CF" w:rsidTr="00A756CA">
        <w:tc>
          <w:tcPr>
            <w:tcW w:w="3259" w:type="dxa"/>
          </w:tcPr>
          <w:p w:rsidR="002302CF" w:rsidRPr="004804AF" w:rsidRDefault="002302CF" w:rsidP="00A756CA">
            <w:pPr>
              <w:jc w:val="both"/>
              <w:rPr>
                <w:sz w:val="20"/>
                <w:szCs w:val="20"/>
                <w:lang w:val="en-US"/>
              </w:rPr>
            </w:pPr>
            <w:r w:rsidRPr="004804AF">
              <w:rPr>
                <w:sz w:val="20"/>
                <w:szCs w:val="20"/>
                <w:lang w:val="en-US"/>
              </w:rPr>
              <w:t>“They are successful urban dwellers, like you and I, swift enough to escape detection and canny enough to hunt among a crowd.”</w:t>
            </w:r>
          </w:p>
        </w:tc>
        <w:tc>
          <w:tcPr>
            <w:tcW w:w="3259" w:type="dxa"/>
          </w:tcPr>
          <w:p w:rsidR="002302CF" w:rsidRPr="004804AF" w:rsidRDefault="002302CF" w:rsidP="00C21E3B">
            <w:pPr>
              <w:jc w:val="both"/>
              <w:rPr>
                <w:color w:val="002060"/>
                <w:sz w:val="20"/>
                <w:szCs w:val="20"/>
              </w:rPr>
            </w:pPr>
            <w:r w:rsidRPr="004804AF">
              <w:rPr>
                <w:sz w:val="20"/>
                <w:szCs w:val="20"/>
              </w:rPr>
              <w:t>“</w:t>
            </w:r>
            <w:r w:rsidRPr="004804AF">
              <w:rPr>
                <w:color w:val="002060"/>
                <w:sz w:val="20"/>
                <w:szCs w:val="20"/>
              </w:rPr>
              <w:t>Sono cittadini di successo, come me e lei, abbastanza svelti da non lasciarsi sorprendere e abbastanza guardinghi da andare a caccia in mezzo alla folla.”</w:t>
            </w:r>
          </w:p>
        </w:tc>
        <w:tc>
          <w:tcPr>
            <w:tcW w:w="3260" w:type="dxa"/>
            <w:vMerge w:val="restart"/>
          </w:tcPr>
          <w:p w:rsidR="002302CF" w:rsidRDefault="002302CF" w:rsidP="00060CE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 difference between the two versions mainly affects syntax: Italian syntax sounds more elaborate and complex.</w:t>
            </w:r>
          </w:p>
          <w:p w:rsidR="002302CF" w:rsidRDefault="002302CF" w:rsidP="00060CE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The original language seems to </w:t>
            </w:r>
            <w:proofErr w:type="spellStart"/>
            <w:r>
              <w:rPr>
                <w:lang w:val="en-US"/>
              </w:rPr>
              <w:t>favour</w:t>
            </w:r>
            <w:proofErr w:type="spellEnd"/>
            <w:r>
              <w:rPr>
                <w:lang w:val="en-US"/>
              </w:rPr>
              <w:t xml:space="preserve"> the use of a nominal style in part of the quotation.</w:t>
            </w:r>
          </w:p>
          <w:p w:rsidR="002302CF" w:rsidRDefault="002302CF" w:rsidP="00060CE1">
            <w:pPr>
              <w:jc w:val="both"/>
              <w:rPr>
                <w:lang w:val="en-US"/>
              </w:rPr>
            </w:pPr>
          </w:p>
          <w:p w:rsidR="002302CF" w:rsidRPr="002302CF" w:rsidRDefault="002302CF" w:rsidP="00060CE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It does not seem there are many different style.</w:t>
            </w:r>
          </w:p>
        </w:tc>
      </w:tr>
      <w:tr w:rsidR="002302CF" w:rsidRPr="00A756CA" w:rsidTr="002302CF">
        <w:trPr>
          <w:trHeight w:val="746"/>
        </w:trPr>
        <w:tc>
          <w:tcPr>
            <w:tcW w:w="6518" w:type="dxa"/>
            <w:gridSpan w:val="2"/>
          </w:tcPr>
          <w:p w:rsidR="002302CF" w:rsidRDefault="002302CF" w:rsidP="00A756CA">
            <w:pPr>
              <w:rPr>
                <w:lang w:val="en-US"/>
              </w:rPr>
            </w:pPr>
            <w:r w:rsidRPr="00A756CA">
              <w:rPr>
                <w:lang w:val="en-US"/>
              </w:rPr>
              <w:t xml:space="preserve">Reason </w:t>
            </w:r>
            <w:r>
              <w:rPr>
                <w:lang w:val="en-US"/>
              </w:rPr>
              <w:t xml:space="preserve">for choice: </w:t>
            </w:r>
            <w:r w:rsidRPr="00A756CA">
              <w:rPr>
                <w:lang w:val="en-US"/>
              </w:rPr>
              <w:t xml:space="preserve">The  quotation provides an example of a </w:t>
            </w:r>
            <w:r w:rsidRPr="004804AF">
              <w:rPr>
                <w:color w:val="FF0000"/>
                <w:lang w:val="en-US"/>
              </w:rPr>
              <w:t>similarity between the two characters</w:t>
            </w:r>
            <w:r>
              <w:rPr>
                <w:lang w:val="en-US"/>
              </w:rPr>
              <w:t>.</w:t>
            </w:r>
          </w:p>
          <w:p w:rsidR="002302CF" w:rsidRPr="00A756CA" w:rsidRDefault="002302CF" w:rsidP="002302CF">
            <w:pPr>
              <w:rPr>
                <w:lang w:val="en-US"/>
              </w:rPr>
            </w:pPr>
          </w:p>
        </w:tc>
        <w:tc>
          <w:tcPr>
            <w:tcW w:w="3260" w:type="dxa"/>
            <w:vMerge/>
          </w:tcPr>
          <w:p w:rsidR="002302CF" w:rsidRPr="00A756CA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:rsidTr="002302CF">
        <w:trPr>
          <w:trHeight w:val="1255"/>
        </w:trPr>
        <w:tc>
          <w:tcPr>
            <w:tcW w:w="6518" w:type="dxa"/>
            <w:gridSpan w:val="2"/>
          </w:tcPr>
          <w:p w:rsidR="002302CF" w:rsidRDefault="002302CF" w:rsidP="002302CF">
            <w:pPr>
              <w:rPr>
                <w:lang w:val="en-US"/>
              </w:rPr>
            </w:pPr>
            <w:r w:rsidRPr="002302CF">
              <w:rPr>
                <w:b/>
                <w:lang w:val="en-US"/>
              </w:rPr>
              <w:t>Analysis</w:t>
            </w:r>
            <w:r>
              <w:rPr>
                <w:lang w:val="en-US"/>
              </w:rPr>
              <w:t>:</w:t>
            </w:r>
          </w:p>
          <w:p w:rsidR="002302CF" w:rsidRDefault="002302CF" w:rsidP="002302CF">
            <w:pPr>
              <w:rPr>
                <w:sz w:val="18"/>
                <w:szCs w:val="18"/>
                <w:lang w:val="en-US"/>
              </w:rPr>
            </w:pPr>
            <w:r>
              <w:rPr>
                <w:lang w:val="en-US"/>
              </w:rPr>
              <w:t>What connects the two characters  is linguistically expressed by “</w:t>
            </w:r>
            <w:r w:rsidRPr="004804AF">
              <w:rPr>
                <w:sz w:val="20"/>
                <w:szCs w:val="20"/>
                <w:lang w:val="en-US"/>
              </w:rPr>
              <w:t>they are both swift enough to escape detection</w:t>
            </w:r>
            <w:r w:rsidRPr="004804AF">
              <w:rPr>
                <w:sz w:val="18"/>
                <w:szCs w:val="18"/>
                <w:lang w:val="en-US"/>
              </w:rPr>
              <w:t>”</w:t>
            </w:r>
            <w:r>
              <w:rPr>
                <w:lang w:val="en-US"/>
              </w:rPr>
              <w:t xml:space="preserve"> and “</w:t>
            </w:r>
            <w:proofErr w:type="spellStart"/>
            <w:r w:rsidRPr="004804AF">
              <w:rPr>
                <w:sz w:val="20"/>
                <w:szCs w:val="20"/>
                <w:lang w:val="en-US"/>
              </w:rPr>
              <w:t>cunny</w:t>
            </w:r>
            <w:proofErr w:type="spellEnd"/>
            <w:r w:rsidRPr="004804AF">
              <w:rPr>
                <w:sz w:val="20"/>
                <w:szCs w:val="20"/>
                <w:lang w:val="en-US"/>
              </w:rPr>
              <w:t xml:space="preserve"> enough to hunt </w:t>
            </w:r>
            <w:r w:rsidRPr="004804AF">
              <w:rPr>
                <w:sz w:val="18"/>
                <w:szCs w:val="18"/>
                <w:lang w:val="en-US"/>
              </w:rPr>
              <w:t>….”</w:t>
            </w:r>
          </w:p>
          <w:p w:rsidR="002302CF" w:rsidRDefault="002302CF" w:rsidP="002302CF">
            <w:pPr>
              <w:rPr>
                <w:lang w:val="en-US"/>
              </w:rPr>
            </w:pPr>
            <w:r w:rsidRPr="004804AF">
              <w:rPr>
                <w:lang w:val="en-US"/>
              </w:rPr>
              <w:t>The impression is that they are both intelligent people able to avoid problems and difficult situations.</w:t>
            </w:r>
          </w:p>
          <w:p w:rsidR="002302CF" w:rsidRPr="00A756CA" w:rsidRDefault="002302CF" w:rsidP="002302CF">
            <w:pPr>
              <w:rPr>
                <w:lang w:val="en-US"/>
              </w:rPr>
            </w:pPr>
            <w:r>
              <w:rPr>
                <w:lang w:val="en-US"/>
              </w:rPr>
              <w:t>The use of an anaphoric structure reinforces the positive qualities of the two characters.</w:t>
            </w:r>
          </w:p>
        </w:tc>
        <w:tc>
          <w:tcPr>
            <w:tcW w:w="3260" w:type="dxa"/>
            <w:vMerge/>
          </w:tcPr>
          <w:p w:rsidR="002302CF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:rsidTr="008300E1">
        <w:trPr>
          <w:trHeight w:val="1255"/>
        </w:trPr>
        <w:tc>
          <w:tcPr>
            <w:tcW w:w="6518" w:type="dxa"/>
            <w:gridSpan w:val="2"/>
          </w:tcPr>
          <w:p w:rsidR="002302CF" w:rsidRPr="002302CF" w:rsidRDefault="002302CF" w:rsidP="002302CF">
            <w:pPr>
              <w:rPr>
                <w:b/>
                <w:lang w:val="en-US"/>
              </w:rPr>
            </w:pPr>
            <w:r w:rsidRPr="002302CF">
              <w:rPr>
                <w:b/>
                <w:lang w:val="en-US"/>
              </w:rPr>
              <w:t>Possible conclusion:</w:t>
            </w:r>
          </w:p>
          <w:p w:rsidR="002302CF" w:rsidRDefault="002302CF" w:rsidP="002302CF">
            <w:pPr>
              <w:rPr>
                <w:lang w:val="en-US"/>
              </w:rPr>
            </w:pPr>
            <w:r>
              <w:rPr>
                <w:lang w:val="en-US"/>
              </w:rPr>
              <w:t>The total effect is that they both seem to live in a situation of unease.</w:t>
            </w:r>
          </w:p>
          <w:p w:rsidR="002302CF" w:rsidRDefault="002302CF" w:rsidP="002302CF">
            <w:pPr>
              <w:rPr>
                <w:lang w:val="en-US"/>
              </w:rPr>
            </w:pPr>
            <w:r>
              <w:rPr>
                <w:lang w:val="en-US"/>
              </w:rPr>
              <w:t>The similarity the protagonist refers may be done with the purpose of creating a certain level of informality and a closer relationship.</w:t>
            </w:r>
          </w:p>
          <w:p w:rsidR="002302CF" w:rsidRDefault="002302CF" w:rsidP="002302CF">
            <w:pPr>
              <w:rPr>
                <w:lang w:val="en-US"/>
              </w:rPr>
            </w:pPr>
            <w:r>
              <w:rPr>
                <w:lang w:val="en-US"/>
              </w:rPr>
              <w:t>They have both experienced what living in a different country and culture may mean: the sense of cultural shock, the difficulty to face the Other.</w:t>
            </w:r>
          </w:p>
        </w:tc>
        <w:tc>
          <w:tcPr>
            <w:tcW w:w="3260" w:type="dxa"/>
            <w:vMerge/>
          </w:tcPr>
          <w:p w:rsidR="002302CF" w:rsidRDefault="002302CF" w:rsidP="00060CE1">
            <w:pPr>
              <w:jc w:val="both"/>
              <w:rPr>
                <w:lang w:val="en-US"/>
              </w:rPr>
            </w:pPr>
          </w:p>
        </w:tc>
      </w:tr>
    </w:tbl>
    <w:p w:rsidR="00A756CA" w:rsidRPr="00A756CA" w:rsidRDefault="00A756CA" w:rsidP="00A756CA">
      <w:pPr>
        <w:spacing w:after="0"/>
        <w:rPr>
          <w:lang w:val="en-US"/>
        </w:rPr>
      </w:pPr>
    </w:p>
    <w:p w:rsidR="00E927C5" w:rsidRPr="00A756CA" w:rsidRDefault="00E927C5" w:rsidP="00FE09C0">
      <w:pPr>
        <w:spacing w:after="0"/>
        <w:rPr>
          <w:lang w:val="en-US"/>
        </w:rPr>
      </w:pPr>
    </w:p>
    <w:p w:rsidR="00E927C5" w:rsidRPr="00A756CA" w:rsidRDefault="00E927C5">
      <w:pPr>
        <w:rPr>
          <w:lang w:val="en-US"/>
        </w:rPr>
      </w:pPr>
      <w:r w:rsidRPr="00A756CA">
        <w:rPr>
          <w:lang w:val="en-US"/>
        </w:rPr>
        <w:br w:type="page"/>
      </w:r>
    </w:p>
    <w:sectPr w:rsidR="00E927C5" w:rsidRPr="00A756CA" w:rsidSect="00FB1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D9B"/>
    <w:multiLevelType w:val="hybridMultilevel"/>
    <w:tmpl w:val="9AAAF6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04121"/>
    <w:multiLevelType w:val="hybridMultilevel"/>
    <w:tmpl w:val="7BC6E132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2EF8"/>
    <w:multiLevelType w:val="hybridMultilevel"/>
    <w:tmpl w:val="3E30407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0F2EC8"/>
    <w:multiLevelType w:val="hybridMultilevel"/>
    <w:tmpl w:val="B044C2CE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A0274"/>
    <w:multiLevelType w:val="hybridMultilevel"/>
    <w:tmpl w:val="7F0A32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06C5E"/>
    <w:multiLevelType w:val="hybridMultilevel"/>
    <w:tmpl w:val="35BA70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E927C5"/>
    <w:rsid w:val="00033BC0"/>
    <w:rsid w:val="00060CE1"/>
    <w:rsid w:val="002302CF"/>
    <w:rsid w:val="004804AF"/>
    <w:rsid w:val="009663A5"/>
    <w:rsid w:val="00A756CA"/>
    <w:rsid w:val="00C21E3B"/>
    <w:rsid w:val="00E927C5"/>
    <w:rsid w:val="00FB1BF4"/>
    <w:rsid w:val="00FE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B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7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A75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beltramini.m</cp:lastModifiedBy>
  <cp:revision>3</cp:revision>
  <dcterms:created xsi:type="dcterms:W3CDTF">2014-10-23T11:21:00Z</dcterms:created>
  <dcterms:modified xsi:type="dcterms:W3CDTF">2014-10-23T11:21:00Z</dcterms:modified>
</cp:coreProperties>
</file>