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79A" w:rsidRPr="0081055F" w:rsidRDefault="00D8779A">
      <w:pPr>
        <w:rPr>
          <w:rStyle w:val="apple-converted-space"/>
          <w:rFonts w:cs="Arial"/>
          <w:color w:val="000000"/>
          <w:sz w:val="24"/>
          <w:szCs w:val="24"/>
          <w:shd w:val="clear" w:color="auto" w:fill="FFFFFF"/>
        </w:rPr>
      </w:pPr>
      <w:r w:rsidRPr="0081055F">
        <w:rPr>
          <w:rStyle w:val="lemma"/>
          <w:b/>
          <w:bCs/>
          <w:color w:val="000000"/>
          <w:sz w:val="24"/>
          <w:szCs w:val="24"/>
          <w:bdr w:val="none" w:sz="0" w:space="0" w:color="auto" w:frame="1"/>
          <w:shd w:val="clear" w:color="auto" w:fill="FFFFFF"/>
        </w:rPr>
        <w:t>P</w:t>
      </w:r>
      <w:r w:rsidRPr="0081055F">
        <w:rPr>
          <w:rStyle w:val="lemma"/>
          <w:b/>
          <w:bCs/>
          <w:color w:val="000000"/>
          <w:sz w:val="24"/>
          <w:szCs w:val="24"/>
          <w:bdr w:val="none" w:sz="0" w:space="0" w:color="auto" w:frame="1"/>
          <w:shd w:val="clear" w:color="auto" w:fill="FFFFFF"/>
        </w:rPr>
        <w:t>resbitero</w:t>
      </w:r>
    </w:p>
    <w:p w:rsidR="003C6A6E" w:rsidRPr="0081055F" w:rsidRDefault="00D8779A">
      <w:pPr>
        <w:rPr>
          <w:rFonts w:cs="Arial"/>
          <w:color w:val="000000"/>
          <w:sz w:val="24"/>
          <w:szCs w:val="24"/>
          <w:shd w:val="clear" w:color="auto" w:fill="FFFFFF"/>
        </w:rPr>
      </w:pPr>
      <w:r w:rsidRPr="0081055F">
        <w:rPr>
          <w:rFonts w:cs="Arial"/>
          <w:color w:val="000000"/>
          <w:sz w:val="24"/>
          <w:szCs w:val="24"/>
          <w:shd w:val="clear" w:color="auto" w:fill="FFFFFF"/>
        </w:rPr>
        <w:t>Nel Nuovo Testamento</w:t>
      </w:r>
      <w:r w:rsidRPr="0081055F">
        <w:rPr>
          <w:rFonts w:cs="Arial"/>
          <w:color w:val="000000"/>
          <w:sz w:val="24"/>
          <w:szCs w:val="24"/>
          <w:shd w:val="clear" w:color="auto" w:fill="FFFFFF"/>
        </w:rPr>
        <w:t xml:space="preserve"> i presbiteri</w:t>
      </w:r>
      <w:r w:rsidRPr="0081055F">
        <w:rPr>
          <w:rFonts w:cs="Arial"/>
          <w:color w:val="000000"/>
          <w:sz w:val="24"/>
          <w:szCs w:val="24"/>
          <w:shd w:val="clear" w:color="auto" w:fill="FFFFFF"/>
        </w:rPr>
        <w:t xml:space="preserve"> sono gli ‘anziani’ della comunità cui è affidato il governo della comunità stessa. Nello sviluppo dell’organizzazione delle comunità, </w:t>
      </w:r>
      <w:r w:rsidR="00787540" w:rsidRPr="0081055F">
        <w:rPr>
          <w:rFonts w:cs="Arial"/>
          <w:color w:val="000000"/>
          <w:sz w:val="24"/>
          <w:szCs w:val="24"/>
          <w:shd w:val="clear" w:color="auto" w:fill="FFFFFF"/>
        </w:rPr>
        <w:t>già nella prima metà del II</w:t>
      </w:r>
      <w:r w:rsidRPr="0081055F">
        <w:rPr>
          <w:rFonts w:cs="Arial"/>
          <w:color w:val="000000"/>
          <w:sz w:val="24"/>
          <w:szCs w:val="24"/>
          <w:shd w:val="clear" w:color="auto" w:fill="FFFFFF"/>
        </w:rPr>
        <w:t xml:space="preserve"> secolo</w:t>
      </w:r>
      <w:r w:rsidRPr="0081055F">
        <w:rPr>
          <w:rFonts w:cs="Arial"/>
          <w:color w:val="000000"/>
          <w:sz w:val="24"/>
          <w:szCs w:val="24"/>
          <w:shd w:val="clear" w:color="auto" w:fill="FFFFFF"/>
        </w:rPr>
        <w:t>, la figura del vescovo tende a di</w:t>
      </w:r>
      <w:r w:rsidRPr="0081055F">
        <w:rPr>
          <w:rFonts w:cs="Arial"/>
          <w:color w:val="000000"/>
          <w:sz w:val="24"/>
          <w:szCs w:val="24"/>
          <w:shd w:val="clear" w:color="auto" w:fill="FFFFFF"/>
        </w:rPr>
        <w:t>fferenziarsi dal collegio dei presbiteri</w:t>
      </w:r>
      <w:r w:rsidRPr="0081055F">
        <w:rPr>
          <w:rFonts w:cs="Arial"/>
          <w:color w:val="000000"/>
          <w:sz w:val="24"/>
          <w:szCs w:val="24"/>
          <w:shd w:val="clear" w:color="auto" w:fill="FFFFFF"/>
        </w:rPr>
        <w:t xml:space="preserve">, così da dare origine all’organizzazione monarchica delle comunità, con la differenziazione dei diversi gradi dell’ordine </w:t>
      </w:r>
      <w:bookmarkStart w:id="0" w:name="_GoBack"/>
      <w:r w:rsidRPr="0081055F">
        <w:rPr>
          <w:rFonts w:cs="Arial"/>
          <w:color w:val="000000"/>
          <w:sz w:val="24"/>
          <w:szCs w:val="24"/>
          <w:shd w:val="clear" w:color="auto" w:fill="FFFFFF"/>
        </w:rPr>
        <w:t>sacro. Oggi il presbiterato è il secondo grado (</w:t>
      </w:r>
      <w:r w:rsidRPr="0081055F">
        <w:rPr>
          <w:rStyle w:val="ptdisciplina"/>
          <w:rFonts w:cs="Arial"/>
          <w:color w:val="000000"/>
          <w:sz w:val="24"/>
          <w:szCs w:val="24"/>
          <w:bdr w:val="none" w:sz="0" w:space="0" w:color="auto" w:frame="1"/>
          <w:shd w:val="clear" w:color="auto" w:fill="FFFFFF"/>
        </w:rPr>
        <w:t>sacerdote</w:t>
      </w:r>
      <w:r w:rsidRPr="0081055F">
        <w:rPr>
          <w:rStyle w:val="apple-converted-space"/>
          <w:rFonts w:cs="Arial"/>
          <w:color w:val="000000"/>
          <w:sz w:val="24"/>
          <w:szCs w:val="24"/>
          <w:shd w:val="clear" w:color="auto" w:fill="FFFFFF"/>
        </w:rPr>
        <w:t> </w:t>
      </w:r>
      <w:r w:rsidRPr="0081055F">
        <w:rPr>
          <w:rFonts w:cs="Arial"/>
          <w:color w:val="000000"/>
          <w:sz w:val="24"/>
          <w:szCs w:val="24"/>
          <w:shd w:val="clear" w:color="auto" w:fill="FFFFFF"/>
        </w:rPr>
        <w:t>o</w:t>
      </w:r>
      <w:r w:rsidRPr="0081055F">
        <w:rPr>
          <w:rStyle w:val="apple-converted-space"/>
          <w:rFonts w:cs="Arial"/>
          <w:color w:val="000000"/>
          <w:sz w:val="24"/>
          <w:szCs w:val="24"/>
          <w:shd w:val="clear" w:color="auto" w:fill="FFFFFF"/>
        </w:rPr>
        <w:t> </w:t>
      </w:r>
      <w:r w:rsidRPr="0081055F">
        <w:rPr>
          <w:rStyle w:val="testocorsivo"/>
          <w:rFonts w:cs="Arial"/>
          <w:iCs/>
          <w:color w:val="000000"/>
          <w:sz w:val="24"/>
          <w:szCs w:val="24"/>
          <w:bdr w:val="none" w:sz="0" w:space="0" w:color="auto" w:frame="1"/>
          <w:shd w:val="clear" w:color="auto" w:fill="FFFFFF"/>
        </w:rPr>
        <w:t>prete</w:t>
      </w:r>
      <w:r w:rsidRPr="0081055F">
        <w:rPr>
          <w:rFonts w:cs="Arial"/>
          <w:color w:val="000000"/>
          <w:sz w:val="24"/>
          <w:szCs w:val="24"/>
          <w:shd w:val="clear" w:color="auto" w:fill="FFFFFF"/>
        </w:rPr>
        <w:t>) del sacramento dell’</w:t>
      </w:r>
      <w:r w:rsidRPr="0081055F">
        <w:rPr>
          <w:rStyle w:val="rinvio"/>
          <w:rFonts w:cs="Arial"/>
          <w:color w:val="000000"/>
          <w:sz w:val="24"/>
          <w:szCs w:val="24"/>
          <w:bdr w:val="none" w:sz="0" w:space="0" w:color="auto" w:frame="1"/>
          <w:shd w:val="clear" w:color="auto" w:fill="FFFFFF"/>
        </w:rPr>
        <w:t>ordine</w:t>
      </w:r>
      <w:r w:rsidRPr="0081055F">
        <w:rPr>
          <w:rFonts w:cs="Arial"/>
          <w:color w:val="000000"/>
          <w:sz w:val="24"/>
          <w:szCs w:val="24"/>
          <w:shd w:val="clear" w:color="auto" w:fill="FFFFFF"/>
        </w:rPr>
        <w:t>.</w:t>
      </w:r>
    </w:p>
    <w:bookmarkEnd w:id="0"/>
    <w:p w:rsidR="00AD0366" w:rsidRPr="0081055F" w:rsidRDefault="00AD0366">
      <w:pPr>
        <w:rPr>
          <w:rFonts w:cs="Arial"/>
          <w:color w:val="000000"/>
          <w:sz w:val="24"/>
          <w:szCs w:val="24"/>
          <w:shd w:val="clear" w:color="auto" w:fill="FFFFFF"/>
        </w:rPr>
      </w:pPr>
    </w:p>
    <w:p w:rsidR="00AD0366" w:rsidRPr="0081055F" w:rsidRDefault="00AD0366">
      <w:pPr>
        <w:rPr>
          <w:rFonts w:cs="Arial"/>
          <w:b/>
          <w:color w:val="000000"/>
          <w:sz w:val="24"/>
          <w:szCs w:val="24"/>
          <w:shd w:val="clear" w:color="auto" w:fill="FFFFFF"/>
        </w:rPr>
      </w:pPr>
      <w:r w:rsidRPr="0081055F">
        <w:rPr>
          <w:rFonts w:cs="Arial"/>
          <w:b/>
          <w:color w:val="000000"/>
          <w:sz w:val="24"/>
          <w:szCs w:val="24"/>
          <w:shd w:val="clear" w:color="auto" w:fill="FFFFFF"/>
        </w:rPr>
        <w:t>Presbiteriano</w:t>
      </w:r>
    </w:p>
    <w:p w:rsidR="00AD0366" w:rsidRPr="0081055F" w:rsidRDefault="00AD0366">
      <w:pPr>
        <w:rPr>
          <w:sz w:val="24"/>
          <w:szCs w:val="24"/>
        </w:rPr>
      </w:pPr>
      <w:r w:rsidRPr="0081055F">
        <w:rPr>
          <w:sz w:val="24"/>
          <w:szCs w:val="24"/>
        </w:rPr>
        <w:t>Appartenente a una tra le principali denominazioni protestanti. In senso lato, possono definirsi presbiteriane tutte quelle Chiese riformate nelle quali vige il tipo di ordinamento che ha la propria origine nella Chiesa ginevrina di Calvino. Storicamente, i presbiteriani s'identificano più precisamente con un settore del protestantesimo anglosassone, che in Scozia, dal 1560, costituì per opera di John Knox una solida Chiesa presbiteriana, mentre in Inghilterra condivise la sorte comune a tutta la dissidenza religiosa (</w:t>
      </w:r>
      <w:proofErr w:type="spellStart"/>
      <w:r w:rsidRPr="0081055F">
        <w:rPr>
          <w:sz w:val="24"/>
          <w:szCs w:val="24"/>
        </w:rPr>
        <w:t>dissenters</w:t>
      </w:r>
      <w:proofErr w:type="spellEnd"/>
      <w:r w:rsidRPr="0081055F">
        <w:rPr>
          <w:sz w:val="24"/>
          <w:szCs w:val="24"/>
        </w:rPr>
        <w:t>), costituendo uno dei pilastri dell'opposizione calvinista alla Chiesa inglese di Stato.</w:t>
      </w:r>
    </w:p>
    <w:p w:rsidR="00AD0366" w:rsidRPr="0081055F" w:rsidRDefault="00AD0366">
      <w:pPr>
        <w:rPr>
          <w:sz w:val="24"/>
          <w:szCs w:val="24"/>
        </w:rPr>
      </w:pPr>
    </w:p>
    <w:p w:rsidR="00AD0366" w:rsidRPr="0081055F" w:rsidRDefault="00732D2B">
      <w:pPr>
        <w:rPr>
          <w:b/>
          <w:sz w:val="24"/>
          <w:szCs w:val="24"/>
        </w:rPr>
      </w:pPr>
      <w:r w:rsidRPr="0081055F">
        <w:rPr>
          <w:b/>
          <w:sz w:val="24"/>
          <w:szCs w:val="24"/>
        </w:rPr>
        <w:t>Puritani</w:t>
      </w:r>
    </w:p>
    <w:p w:rsidR="00732D2B" w:rsidRPr="0081055F" w:rsidRDefault="00732D2B">
      <w:pPr>
        <w:rPr>
          <w:sz w:val="24"/>
          <w:szCs w:val="24"/>
        </w:rPr>
      </w:pPr>
      <w:r w:rsidRPr="0081055F">
        <w:rPr>
          <w:sz w:val="24"/>
          <w:szCs w:val="24"/>
        </w:rPr>
        <w:t>Il termine puritani designa i seguaci del puritanesimo, un movimento sorto nell'ambito del protestantesimo calvinista inglese durante il XVI secolo. Lo scopo di tale movimento era, appunto, quello di purificare la Chiesa d'Inghilterra da tutte le forme non previste dalle Sacre Scritture. Si intendeva in tal modo annullare i compromessi con il cattolicesimo promossi dalla Riforma sotto Enrico VIII ed Elisabetta I d'Inghilterra.</w:t>
      </w:r>
    </w:p>
    <w:p w:rsidR="00732D2B" w:rsidRPr="0081055F" w:rsidRDefault="00732D2B">
      <w:pPr>
        <w:rPr>
          <w:sz w:val="24"/>
          <w:szCs w:val="24"/>
        </w:rPr>
      </w:pPr>
    </w:p>
    <w:p w:rsidR="00732D2B" w:rsidRPr="0081055F" w:rsidRDefault="00732D2B">
      <w:pPr>
        <w:rPr>
          <w:b/>
          <w:sz w:val="24"/>
          <w:szCs w:val="24"/>
        </w:rPr>
      </w:pPr>
      <w:r w:rsidRPr="0081055F">
        <w:rPr>
          <w:b/>
          <w:sz w:val="24"/>
          <w:szCs w:val="24"/>
        </w:rPr>
        <w:t>Protestante</w:t>
      </w:r>
    </w:p>
    <w:p w:rsidR="00732D2B" w:rsidRPr="0081055F" w:rsidRDefault="00732D2B" w:rsidP="00732D2B">
      <w:pPr>
        <w:pStyle w:val="NormaleWeb"/>
        <w:shd w:val="clear" w:color="auto" w:fill="FFFFFF"/>
        <w:spacing w:before="0" w:beforeAutospacing="0" w:after="0" w:afterAutospacing="0" w:line="420" w:lineRule="atLeast"/>
        <w:textAlignment w:val="baseline"/>
        <w:rPr>
          <w:rFonts w:asciiTheme="minorHAnsi" w:hAnsiTheme="minorHAnsi" w:cs="Arial"/>
          <w:color w:val="000000"/>
        </w:rPr>
      </w:pPr>
      <w:r w:rsidRPr="0081055F">
        <w:rPr>
          <w:rFonts w:asciiTheme="minorHAnsi" w:hAnsiTheme="minorHAnsi" w:cs="Arial"/>
          <w:color w:val="000000"/>
        </w:rPr>
        <w:t>Colui che segue il m</w:t>
      </w:r>
      <w:r w:rsidRPr="0081055F">
        <w:rPr>
          <w:rFonts w:asciiTheme="minorHAnsi" w:hAnsiTheme="minorHAnsi" w:cs="Arial"/>
          <w:color w:val="000000"/>
        </w:rPr>
        <w:t>ovimento religioso, politico, cul</w:t>
      </w:r>
      <w:r w:rsidR="00787540" w:rsidRPr="0081055F">
        <w:rPr>
          <w:rFonts w:asciiTheme="minorHAnsi" w:hAnsiTheme="minorHAnsi" w:cs="Arial"/>
          <w:color w:val="000000"/>
        </w:rPr>
        <w:t>turale che produsse nel XVI</w:t>
      </w:r>
      <w:r w:rsidRPr="0081055F">
        <w:rPr>
          <w:rFonts w:asciiTheme="minorHAnsi" w:hAnsiTheme="minorHAnsi" w:cs="Arial"/>
          <w:color w:val="000000"/>
        </w:rPr>
        <w:t xml:space="preserve"> secolo</w:t>
      </w:r>
      <w:r w:rsidRPr="0081055F">
        <w:rPr>
          <w:rFonts w:asciiTheme="minorHAnsi" w:hAnsiTheme="minorHAnsi" w:cs="Arial"/>
          <w:color w:val="000000"/>
        </w:rPr>
        <w:t xml:space="preserve"> la frattura della cristianità in diverse comunità, gruppi o sette.</w:t>
      </w:r>
    </w:p>
    <w:p w:rsidR="00732D2B" w:rsidRPr="0081055F" w:rsidRDefault="00732D2B" w:rsidP="00732D2B">
      <w:pPr>
        <w:pStyle w:val="NormaleWeb"/>
        <w:shd w:val="clear" w:color="auto" w:fill="FFFFFF"/>
        <w:spacing w:before="0" w:beforeAutospacing="0" w:after="0" w:afterAutospacing="0" w:line="420" w:lineRule="atLeast"/>
        <w:textAlignment w:val="baseline"/>
        <w:rPr>
          <w:rFonts w:asciiTheme="minorHAnsi" w:hAnsiTheme="minorHAnsi" w:cs="Arial"/>
          <w:color w:val="000000"/>
        </w:rPr>
      </w:pPr>
    </w:p>
    <w:p w:rsidR="00732D2B" w:rsidRPr="0081055F" w:rsidRDefault="00787540" w:rsidP="00732D2B">
      <w:pPr>
        <w:pStyle w:val="NormaleWeb"/>
        <w:shd w:val="clear" w:color="auto" w:fill="FFFFFF"/>
        <w:spacing w:before="0" w:beforeAutospacing="0" w:after="0" w:afterAutospacing="0" w:line="420" w:lineRule="atLeast"/>
        <w:textAlignment w:val="baseline"/>
        <w:rPr>
          <w:rFonts w:asciiTheme="minorHAnsi" w:hAnsiTheme="minorHAnsi" w:cs="Arial"/>
          <w:b/>
          <w:color w:val="000000"/>
        </w:rPr>
      </w:pPr>
      <w:r w:rsidRPr="0081055F">
        <w:rPr>
          <w:rFonts w:asciiTheme="minorHAnsi" w:hAnsiTheme="minorHAnsi" w:cs="Arial"/>
          <w:b/>
          <w:color w:val="000000"/>
        </w:rPr>
        <w:t>U</w:t>
      </w:r>
      <w:r w:rsidR="00732D2B" w:rsidRPr="0081055F">
        <w:rPr>
          <w:rFonts w:asciiTheme="minorHAnsi" w:hAnsiTheme="minorHAnsi" w:cs="Arial"/>
          <w:b/>
          <w:color w:val="000000"/>
        </w:rPr>
        <w:t>gonotti</w:t>
      </w:r>
    </w:p>
    <w:p w:rsidR="00787540" w:rsidRPr="0081055F" w:rsidRDefault="00787540" w:rsidP="00732D2B">
      <w:pPr>
        <w:pStyle w:val="NormaleWeb"/>
        <w:shd w:val="clear" w:color="auto" w:fill="FFFFFF"/>
        <w:spacing w:before="0" w:beforeAutospacing="0" w:after="0" w:afterAutospacing="0" w:line="420" w:lineRule="atLeast"/>
        <w:textAlignment w:val="baseline"/>
        <w:rPr>
          <w:rFonts w:asciiTheme="minorHAnsi" w:hAnsiTheme="minorHAnsi" w:cs="Arial"/>
          <w:color w:val="000000"/>
        </w:rPr>
      </w:pPr>
      <w:r w:rsidRPr="0081055F">
        <w:rPr>
          <w:rFonts w:asciiTheme="minorHAnsi" w:hAnsiTheme="minorHAnsi" w:cs="Arial"/>
          <w:color w:val="000000"/>
          <w:shd w:val="clear" w:color="auto" w:fill="FFFFFF"/>
        </w:rPr>
        <w:t>Protestanti francesi nelle</w:t>
      </w:r>
      <w:r w:rsidRPr="0081055F">
        <w:rPr>
          <w:rFonts w:asciiTheme="minorHAnsi" w:hAnsiTheme="minorHAnsi" w:cs="Arial"/>
          <w:color w:val="000000"/>
          <w:shd w:val="clear" w:color="auto" w:fill="FFFFFF"/>
        </w:rPr>
        <w:t xml:space="preserve"> lotte di religione dei XVI e XVII secolo</w:t>
      </w:r>
      <w:r w:rsidRPr="0081055F">
        <w:rPr>
          <w:rFonts w:asciiTheme="minorHAnsi" w:hAnsiTheme="minorHAnsi" w:cs="Arial"/>
          <w:color w:val="000000"/>
          <w:shd w:val="clear" w:color="auto" w:fill="FFFFFF"/>
        </w:rPr>
        <w:t>; il nome deriva dalla parola tedesca</w:t>
      </w:r>
      <w:r w:rsidRPr="0081055F">
        <w:rPr>
          <w:rStyle w:val="apple-converted-space"/>
          <w:rFonts w:asciiTheme="minorHAnsi" w:hAnsiTheme="minorHAnsi" w:cs="Arial"/>
          <w:color w:val="000000"/>
          <w:shd w:val="clear" w:color="auto" w:fill="FFFFFF"/>
        </w:rPr>
        <w:t> </w:t>
      </w:r>
      <w:proofErr w:type="spellStart"/>
      <w:r w:rsidRPr="0081055F">
        <w:rPr>
          <w:rStyle w:val="testocorsivo"/>
          <w:rFonts w:asciiTheme="minorHAnsi" w:hAnsiTheme="minorHAnsi" w:cs="Arial"/>
          <w:iCs/>
          <w:color w:val="000000"/>
          <w:bdr w:val="none" w:sz="0" w:space="0" w:color="auto" w:frame="1"/>
          <w:shd w:val="clear" w:color="auto" w:fill="FFFFFF"/>
        </w:rPr>
        <w:t>Eidgenossen</w:t>
      </w:r>
      <w:proofErr w:type="spellEnd"/>
      <w:r w:rsidRPr="0081055F">
        <w:rPr>
          <w:rStyle w:val="testocorsivo"/>
          <w:rFonts w:asciiTheme="minorHAnsi" w:hAnsiTheme="minorHAnsi" w:cs="Arial"/>
          <w:i/>
          <w:iCs/>
          <w:color w:val="000000"/>
          <w:bdr w:val="none" w:sz="0" w:space="0" w:color="auto" w:frame="1"/>
          <w:shd w:val="clear" w:color="auto" w:fill="FFFFFF"/>
        </w:rPr>
        <w:t xml:space="preserve"> </w:t>
      </w:r>
      <w:r w:rsidRPr="0081055F">
        <w:rPr>
          <w:rFonts w:asciiTheme="minorHAnsi" w:hAnsiTheme="minorHAnsi" w:cs="Arial"/>
          <w:color w:val="000000"/>
          <w:shd w:val="clear" w:color="auto" w:fill="FFFFFF"/>
        </w:rPr>
        <w:t>(«congiurato o confederato»)</w:t>
      </w:r>
    </w:p>
    <w:p w:rsidR="00732D2B" w:rsidRPr="0081055F" w:rsidRDefault="00732D2B">
      <w:pPr>
        <w:rPr>
          <w:sz w:val="24"/>
          <w:szCs w:val="24"/>
        </w:rPr>
      </w:pPr>
    </w:p>
    <w:p w:rsidR="00787540" w:rsidRPr="0081055F" w:rsidRDefault="00787540">
      <w:pPr>
        <w:rPr>
          <w:b/>
          <w:sz w:val="24"/>
          <w:szCs w:val="24"/>
        </w:rPr>
      </w:pPr>
      <w:r w:rsidRPr="0081055F">
        <w:rPr>
          <w:b/>
          <w:sz w:val="24"/>
          <w:szCs w:val="24"/>
        </w:rPr>
        <w:t>Inquisizione</w:t>
      </w:r>
    </w:p>
    <w:p w:rsidR="00787540" w:rsidRPr="0081055F" w:rsidRDefault="00787540">
      <w:pPr>
        <w:rPr>
          <w:sz w:val="24"/>
          <w:szCs w:val="24"/>
        </w:rPr>
      </w:pPr>
      <w:r w:rsidRPr="0081055F">
        <w:rPr>
          <w:sz w:val="24"/>
          <w:szCs w:val="24"/>
        </w:rPr>
        <w:t>Attività di un particolare tribunale ecclesiastico istituito nel XIII secolo con il compito di individuare gli eretici, esaminarli, condannar</w:t>
      </w:r>
      <w:r w:rsidR="0081055F" w:rsidRPr="0081055F">
        <w:rPr>
          <w:sz w:val="24"/>
          <w:szCs w:val="24"/>
        </w:rPr>
        <w:t>li o ottenerne il ravvedimento.</w:t>
      </w:r>
    </w:p>
    <w:sectPr w:rsidR="00787540" w:rsidRPr="008105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9A"/>
    <w:rsid w:val="003C6A6E"/>
    <w:rsid w:val="00732D2B"/>
    <w:rsid w:val="00787540"/>
    <w:rsid w:val="0081055F"/>
    <w:rsid w:val="00AD0366"/>
    <w:rsid w:val="00D87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EBB39-A063-4743-BC85-11B8A4D7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emma">
    <w:name w:val="lemma"/>
    <w:basedOn w:val="Carpredefinitoparagrafo"/>
    <w:rsid w:val="00D8779A"/>
  </w:style>
  <w:style w:type="character" w:customStyle="1" w:styleId="apple-converted-space">
    <w:name w:val="apple-converted-space"/>
    <w:basedOn w:val="Carpredefinitoparagrafo"/>
    <w:rsid w:val="00D8779A"/>
  </w:style>
  <w:style w:type="character" w:styleId="Collegamentoipertestuale">
    <w:name w:val="Hyperlink"/>
    <w:basedOn w:val="Carpredefinitoparagrafo"/>
    <w:uiPriority w:val="99"/>
    <w:semiHidden/>
    <w:unhideWhenUsed/>
    <w:rsid w:val="00D8779A"/>
    <w:rPr>
      <w:color w:val="0000FF"/>
      <w:u w:val="single"/>
    </w:rPr>
  </w:style>
  <w:style w:type="character" w:customStyle="1" w:styleId="testocorsivo">
    <w:name w:val="testocorsivo"/>
    <w:basedOn w:val="Carpredefinitoparagrafo"/>
    <w:rsid w:val="00D8779A"/>
  </w:style>
  <w:style w:type="character" w:customStyle="1" w:styleId="ptdisciplina">
    <w:name w:val="pt_disciplina"/>
    <w:basedOn w:val="Carpredefinitoparagrafo"/>
    <w:rsid w:val="00D8779A"/>
  </w:style>
  <w:style w:type="character" w:customStyle="1" w:styleId="rinvio">
    <w:name w:val="rinvio"/>
    <w:basedOn w:val="Carpredefinitoparagrafo"/>
    <w:rsid w:val="00D8779A"/>
  </w:style>
  <w:style w:type="paragraph" w:styleId="NormaleWeb">
    <w:name w:val="Normal (Web)"/>
    <w:basedOn w:val="Normale"/>
    <w:uiPriority w:val="99"/>
    <w:semiHidden/>
    <w:unhideWhenUsed/>
    <w:rsid w:val="00732D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2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cp:revision>
  <dcterms:created xsi:type="dcterms:W3CDTF">2015-12-08T11:58:00Z</dcterms:created>
  <dcterms:modified xsi:type="dcterms:W3CDTF">2015-12-08T15:03:00Z</dcterms:modified>
</cp:coreProperties>
</file>